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Normal1"/>
        <w:numPr>
          <w:ilvl w:val="0"/>
          <w:numId w:val="0"/>
        </w:numPr>
        <w:jc w:val="right"/>
        <w:outlineLvl w:val="1"/>
        <w:rPr>
          <w:rFonts w:ascii="Times New Roman" w:hAnsi="Times New Roman" w:cs="Times New Roman"/>
          <w:sz w:val="28"/>
          <w:szCs w:val="28"/>
        </w:rPr>
      </w:pPr>
      <w:r>
        <w:rPr>
          <w:rFonts w:cs="Times New Roman" w:ascii="Times New Roman" w:hAnsi="Times New Roman"/>
          <w:sz w:val="28"/>
          <w:szCs w:val="28"/>
        </w:rPr>
        <w:t>Приложение 4</w:t>
      </w:r>
    </w:p>
    <w:p>
      <w:pPr>
        <w:pStyle w:val="ConsPlusNormal1"/>
        <w:jc w:val="right"/>
        <w:rPr>
          <w:rFonts w:ascii="Times New Roman" w:hAnsi="Times New Roman" w:cs="Times New Roman"/>
          <w:sz w:val="28"/>
          <w:szCs w:val="28"/>
        </w:rPr>
      </w:pPr>
      <w:r>
        <w:rPr>
          <w:rFonts w:cs="Times New Roman" w:ascii="Times New Roman" w:hAnsi="Times New Roman"/>
          <w:sz w:val="28"/>
          <w:szCs w:val="28"/>
        </w:rPr>
        <w:t>к государственной программе</w:t>
      </w:r>
    </w:p>
    <w:p>
      <w:pPr>
        <w:pStyle w:val="ConsPlusNormal1"/>
        <w:jc w:val="right"/>
        <w:rPr>
          <w:rFonts w:ascii="Times New Roman" w:hAnsi="Times New Roman" w:cs="Times New Roman"/>
          <w:sz w:val="28"/>
          <w:szCs w:val="28"/>
        </w:rPr>
      </w:pPr>
      <w:r>
        <w:rPr>
          <w:rFonts w:cs="Times New Roman" w:ascii="Times New Roman" w:hAnsi="Times New Roman"/>
          <w:sz w:val="28"/>
          <w:szCs w:val="28"/>
        </w:rPr>
        <w:t>«Комплексное развитие сельских</w:t>
      </w:r>
    </w:p>
    <w:p>
      <w:pPr>
        <w:pStyle w:val="ConsPlusNormal1"/>
        <w:jc w:val="right"/>
        <w:rPr>
          <w:rFonts w:ascii="Times New Roman" w:hAnsi="Times New Roman" w:cs="Times New Roman"/>
          <w:sz w:val="28"/>
          <w:szCs w:val="28"/>
        </w:rPr>
      </w:pPr>
      <w:r>
        <w:rPr>
          <w:rFonts w:cs="Times New Roman" w:ascii="Times New Roman" w:hAnsi="Times New Roman"/>
          <w:sz w:val="28"/>
          <w:szCs w:val="28"/>
        </w:rPr>
        <w:t>территорий Брянской области»</w:t>
      </w:r>
    </w:p>
    <w:p>
      <w:pPr>
        <w:pStyle w:val="ConsPlusNormal1"/>
        <w:jc w:val="both"/>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8"/>
          <w:szCs w:val="28"/>
        </w:rPr>
      </w:pPr>
      <w:r>
        <w:rPr>
          <w:rFonts w:cs="Times New Roman" w:ascii="Times New Roman" w:hAnsi="Times New Roman"/>
          <w:sz w:val="28"/>
          <w:szCs w:val="28"/>
        </w:rPr>
        <w:t>Порядок</w:t>
      </w:r>
    </w:p>
    <w:p>
      <w:pPr>
        <w:pStyle w:val="ConsPlusTitle"/>
        <w:jc w:val="center"/>
        <w:rPr>
          <w:rFonts w:ascii="Times New Roman" w:hAnsi="Times New Roman" w:cs="Times New Roman"/>
          <w:sz w:val="28"/>
          <w:szCs w:val="28"/>
        </w:rPr>
      </w:pPr>
      <w:r>
        <w:rPr>
          <w:rFonts w:cs="Times New Roman" w:ascii="Times New Roman" w:hAnsi="Times New Roman"/>
          <w:sz w:val="28"/>
          <w:szCs w:val="28"/>
        </w:rPr>
        <w:t>предоставления субсидий из областного бюджета бюджетам</w:t>
      </w:r>
    </w:p>
    <w:p>
      <w:pPr>
        <w:pStyle w:val="ConsPlusTitle"/>
        <w:jc w:val="center"/>
        <w:rPr>
          <w:rFonts w:ascii="Times New Roman" w:hAnsi="Times New Roman" w:cs="Times New Roman"/>
          <w:sz w:val="28"/>
          <w:szCs w:val="28"/>
        </w:rPr>
      </w:pPr>
      <w:r>
        <w:rPr>
          <w:rFonts w:cs="Times New Roman" w:ascii="Times New Roman" w:hAnsi="Times New Roman"/>
          <w:sz w:val="28"/>
          <w:szCs w:val="28"/>
        </w:rPr>
        <w:t>муниципальных образований Брянской области на реализацию</w:t>
      </w:r>
    </w:p>
    <w:p>
      <w:pPr>
        <w:pStyle w:val="ConsPlusTitle"/>
        <w:jc w:val="center"/>
        <w:rPr>
          <w:rFonts w:ascii="Times New Roman" w:hAnsi="Times New Roman" w:cs="Times New Roman"/>
          <w:sz w:val="28"/>
          <w:szCs w:val="28"/>
        </w:rPr>
      </w:pPr>
      <w:r>
        <w:rPr>
          <w:rFonts w:cs="Times New Roman" w:ascii="Times New Roman" w:hAnsi="Times New Roman"/>
          <w:sz w:val="28"/>
          <w:szCs w:val="28"/>
        </w:rPr>
        <w:t>мероприятий по благоустройству сельских территорий в рамках региональ</w:t>
      </w:r>
      <w:bookmarkStart w:id="0" w:name="_GoBack"/>
      <w:bookmarkEnd w:id="0"/>
      <w:r>
        <w:rPr>
          <w:rFonts w:cs="Times New Roman" w:ascii="Times New Roman" w:hAnsi="Times New Roman"/>
          <w:sz w:val="28"/>
          <w:szCs w:val="28"/>
        </w:rPr>
        <w:t>ного проекта "Благоустройство сельских территорий" подпрограммы "Создание и развитие инфраструктуры на сельских территориях» государственной программы "Комплексное развитие сельских территорий Брянской области"</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 Настоящий Порядок устанавливает цели, порядок и условия предоставления субсидий из областного бюджета бюджетам муниципальных образований Брянской области на реализацию мероприятий по благоустройству сельских территорий (далее - субсидии), а также критерии отбора муниципальных образований Брянской области для предоставления субсидий.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Под сельскими территориями в настоящем Порядке понимаются: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сельские поселения или сельские поселения и межселенные территории, объединенные общей территорией в границах муниципального района;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сельские населенные пункты, входящие в состав городских поселений, муниципальных округов, городских округов (за исключением городских округов, на территориях которых находятся административные центры субъекта);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рабочие поселки, наделенные статусом городских поселений;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рабочие поселки, входящие в состав городских поселений, муниципальных округов, городских округов (за исключением городских округов, на территории которых находятся административные центры субъекта).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Перечень таких сельских населенных пунктов и рабочих поселков на территории Брянской области определяется нормативным правовым актом департамента сельского хозяйства Брянской области.</w:t>
      </w:r>
    </w:p>
    <w:p>
      <w:pPr>
        <w:pStyle w:val="ConsPlusNormal1"/>
        <w:ind w:firstLine="540"/>
        <w:jc w:val="both"/>
        <w:rPr>
          <w:rFonts w:ascii="Times New Roman" w:hAnsi="Times New Roman" w:cs="Times New Roman"/>
          <w:sz w:val="28"/>
          <w:szCs w:val="28"/>
        </w:rPr>
      </w:pPr>
      <w:bookmarkStart w:id="1" w:name="P3071"/>
      <w:bookmarkEnd w:id="1"/>
      <w:r>
        <w:rPr>
          <w:rFonts w:cs="Times New Roman" w:ascii="Times New Roman" w:hAnsi="Times New Roman"/>
          <w:sz w:val="28"/>
          <w:szCs w:val="28"/>
        </w:rPr>
        <w:t>2. Субсидии предоставляются в целях оказания финансовой поддержки при исполнении расходных обязательств муниципальных образований Брянской области (далее - муниципальные образования), возникающих при реализации муниципальных программ, предусматривающих мероприятия по реализации общественно значимых проектов по благоустройству сельских территорий (далее - проекты) по следующим направлениям:</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а) создание и обустройство зон отдыха, спортивных и детских игровых площадок, площадок для занятий адаптивной физической культурой и адаптивным спортом для лиц с ограниченными возможностями здоровья;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б) организация освещения территории, включая архитектурную подсветку зданий, строений, сооружений, в том числе с использованием энергосберегающих технологий;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 организация пешеходных коммуникаций, в том числе тротуаров, аллей, велосипедных дорожек, тропинок;</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г) создание и обустройство мест автомобильных и велосипедных парковок;</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д) ремонтно-восстановительные работы улично-дорожной сети и дворовых проездов;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е) организация оформления фасадов (внешнего вида) зданий (административных зданий, объектов социальной сферы, объектов инфраструктуры и др.), находящихся в муниципальной собственности, а также установка (обустройство) ограждений, прилегающих к общественным территориям, газонных и тротуарных ограждений;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ж) обустройство территории в целях обеспечения беспрепятственного передвижения инвалидов и других маломобильных групп населения;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з) организация ливневых стоков;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и) обустройство общественных колодцев и водоразборных колонок;</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к) обустройство площадок накопления твердых коммунальных отходов;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л) сохранение и восстановление природных ландшафтов и историко-культурных памятников.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Элементы благоустройства и виды работ, включаемые в проекты, определяются департаментом сельского хозяйства Брянской области (далее - департамент).</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3. Главным распорядителем средств областного бюджета по расходам на предоставление субсидий является департамент.</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Конкурсный отбор муниципальных образований для предоставления субсидий осуществляет департамент.</w:t>
      </w:r>
    </w:p>
    <w:p>
      <w:pPr>
        <w:pStyle w:val="ConsPlusNormal1"/>
        <w:ind w:firstLine="540"/>
        <w:jc w:val="both"/>
        <w:rPr>
          <w:rFonts w:ascii="Times New Roman" w:hAnsi="Times New Roman" w:cs="Times New Roman"/>
          <w:sz w:val="28"/>
          <w:szCs w:val="28"/>
        </w:rPr>
      </w:pPr>
      <w:bookmarkStart w:id="2" w:name="P3088"/>
      <w:bookmarkEnd w:id="2"/>
      <w:r>
        <w:rPr>
          <w:rFonts w:cs="Times New Roman" w:ascii="Times New Roman" w:hAnsi="Times New Roman"/>
          <w:sz w:val="28"/>
          <w:szCs w:val="28"/>
        </w:rPr>
        <w:t>4. Размер субсидии, предоставляемой муниципальному образованию, на реализацию каждого проекта не превышает 2 млн. рублей и составляет не более 70 процентов общего объема финансового обеспечения реализации проекта. При этом не менее 30 процентов объема финансирования реализации проекта должно быть обеспечено за счет средств местного бюджета, а также за счет обязательного вклада граждан и (или) юридических лиц (индивидуальных предпринимателей), общественных, включая волонтерские, организаций в различных формах, в том числе в форме денежных средств, трудового участия, волонтерской деятельности, предоставления помещений и технических средств.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Соотношение объемов финансирования проекта за счет средств местного бюджета и внебюджетных источников определяется органами местного самоуправления, при этом доля средств местного бюджета должна составлять не менее 10 процентов общего объема финансового обеспечения реализации проекта.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Субсидия предоставляется на реализацию в одном муниципальном образовании одного проекта в год.</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5. Работы, выполняемые в рамках проекта, должны быть завершены до 31 декабря года, в котором получена субсидия.</w:t>
      </w:r>
    </w:p>
    <w:p>
      <w:pPr>
        <w:pStyle w:val="ConsPlusNormal1"/>
        <w:ind w:firstLine="540"/>
        <w:jc w:val="both"/>
        <w:rPr>
          <w:rFonts w:ascii="Times New Roman" w:hAnsi="Times New Roman" w:cs="Times New Roman"/>
          <w:sz w:val="28"/>
          <w:szCs w:val="28"/>
        </w:rPr>
      </w:pPr>
      <w:bookmarkStart w:id="3" w:name="P3093"/>
      <w:bookmarkEnd w:id="3"/>
      <w:r>
        <w:rPr>
          <w:rFonts w:cs="Times New Roman" w:ascii="Times New Roman" w:hAnsi="Times New Roman"/>
          <w:sz w:val="28"/>
          <w:szCs w:val="28"/>
        </w:rPr>
        <w:t>6. Субсидии предоставляются при соблюдении следующих условий: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 наличие муниципальной программы, предусматривающей мероприятия по благоустройству сельских территорий;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 наличие в бюджете муниципального образования бюджетных ассигнований на исполнение расходных обязательств, связанных с реализацией мероприятий по благоустройству сельских территорий;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3) заключение соглашения департаментом с органом местного самоуправления муниципального образования о предоставлении субсидии (далее - соглашение) в соответствии </w:t>
      </w:r>
      <w:r>
        <w:rPr>
          <w:rFonts w:cs="Times New Roman" w:ascii="Times New Roman" w:hAnsi="Times New Roman"/>
          <w:color w:val="000000" w:themeColor="text1"/>
          <w:sz w:val="28"/>
          <w:szCs w:val="28"/>
        </w:rPr>
        <w:t xml:space="preserve">с </w:t>
      </w:r>
      <w:hyperlink r:id="rId2">
        <w:r>
          <w:rPr>
            <w:rFonts w:cs="Times New Roman" w:ascii="Times New Roman" w:hAnsi="Times New Roman"/>
            <w:color w:val="000000" w:themeColor="text1"/>
            <w:sz w:val="28"/>
            <w:szCs w:val="28"/>
          </w:rPr>
          <w:t>пунктом 10</w:t>
        </w:r>
      </w:hyperlink>
      <w:r>
        <w:rPr>
          <w:rFonts w:cs="Times New Roman" w:ascii="Times New Roman" w:hAnsi="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7. Критериями отбора муниципальных образований для предоставления субсидий являются: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 наличие бюджетной заявки на предоставление субсидии на очередной финансовый год и плановый период с указанием сведений об объеме бюджетных ассигнований, предусмотренных в бюджете муниципального образования, подтвержденных выписками из решения муниципального образования;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 наличие перечня проектов по благоустройству сельских территорий на очередной финансовый год и плановый период.</w:t>
      </w:r>
    </w:p>
    <w:p>
      <w:pPr>
        <w:pStyle w:val="ConsPlusNormal1"/>
        <w:ind w:firstLine="540"/>
        <w:jc w:val="both"/>
        <w:rPr>
          <w:rFonts w:ascii="Times New Roman" w:hAnsi="Times New Roman" w:cs="Times New Roman"/>
          <w:sz w:val="28"/>
          <w:szCs w:val="28"/>
        </w:rPr>
      </w:pPr>
      <w:bookmarkStart w:id="4" w:name="P3100"/>
      <w:bookmarkEnd w:id="4"/>
      <w:r>
        <w:rPr>
          <w:rFonts w:cs="Times New Roman" w:ascii="Times New Roman" w:hAnsi="Times New Roman"/>
          <w:sz w:val="28"/>
          <w:szCs w:val="28"/>
        </w:rPr>
        <w:t>8. Для участия в программе муниципальные образования области ежегодно по запросу департамента в год, предшествующий году реализации мероприятия, представляют в департамент на очередной финансовый год и плановый период, следующие документы:</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бюджетную </w:t>
      </w:r>
      <w:hyperlink w:anchor="P3163">
        <w:r>
          <w:rPr>
            <w:rFonts w:cs="Times New Roman" w:ascii="Times New Roman" w:hAnsi="Times New Roman"/>
            <w:color w:val="000000" w:themeColor="text1"/>
            <w:sz w:val="28"/>
            <w:szCs w:val="28"/>
          </w:rPr>
          <w:t>заявку</w:t>
        </w:r>
      </w:hyperlink>
      <w:r>
        <w:rPr>
          <w:rFonts w:cs="Times New Roman" w:ascii="Times New Roman" w:hAnsi="Times New Roman"/>
          <w:color w:val="000000" w:themeColor="text1"/>
          <w:sz w:val="28"/>
          <w:szCs w:val="28"/>
        </w:rPr>
        <w:t xml:space="preserve"> </w:t>
      </w:r>
      <w:r>
        <w:rPr>
          <w:rFonts w:cs="Times New Roman" w:ascii="Times New Roman" w:hAnsi="Times New Roman"/>
          <w:sz w:val="28"/>
          <w:szCs w:val="28"/>
        </w:rPr>
        <w:t>на очередной финансовый год и плановый период согласно приложению 1 к настоящему Порядку;</w:t>
      </w:r>
    </w:p>
    <w:p>
      <w:pPr>
        <w:pStyle w:val="ConsPlusNormal1"/>
        <w:ind w:firstLine="540"/>
        <w:jc w:val="both"/>
        <w:rPr>
          <w:rFonts w:ascii="Times New Roman" w:hAnsi="Times New Roman" w:cs="Times New Roman"/>
          <w:sz w:val="28"/>
          <w:szCs w:val="28"/>
        </w:rPr>
      </w:pPr>
      <w:hyperlink w:anchor="P3217">
        <w:r>
          <w:rPr>
            <w:rFonts w:cs="Times New Roman" w:ascii="Times New Roman" w:hAnsi="Times New Roman"/>
            <w:color w:val="000000" w:themeColor="text1"/>
            <w:sz w:val="28"/>
            <w:szCs w:val="28"/>
          </w:rPr>
          <w:t>перечень</w:t>
        </w:r>
      </w:hyperlink>
      <w:r>
        <w:rPr>
          <w:rFonts w:cs="Times New Roman" w:ascii="Times New Roman" w:hAnsi="Times New Roman"/>
          <w:color w:val="000000" w:themeColor="text1"/>
          <w:sz w:val="28"/>
          <w:szCs w:val="28"/>
        </w:rPr>
        <w:t xml:space="preserve"> </w:t>
      </w:r>
      <w:r>
        <w:rPr>
          <w:rFonts w:cs="Times New Roman" w:ascii="Times New Roman" w:hAnsi="Times New Roman"/>
          <w:sz w:val="28"/>
          <w:szCs w:val="28"/>
        </w:rPr>
        <w:t>проектов по благоустройству сельских территорий на очередной финансовый год и плановый период, по форме согласно приложению 2 к настоящему Порядку;</w:t>
      </w:r>
    </w:p>
    <w:p>
      <w:pPr>
        <w:pStyle w:val="ConsPlusNormal1"/>
        <w:ind w:firstLine="540"/>
        <w:jc w:val="both"/>
        <w:rPr>
          <w:rFonts w:ascii="Times New Roman" w:hAnsi="Times New Roman" w:cs="Times New Roman"/>
          <w:sz w:val="28"/>
          <w:szCs w:val="28"/>
        </w:rPr>
      </w:pPr>
      <w:hyperlink w:anchor="P3298">
        <w:r>
          <w:rPr>
            <w:rFonts w:cs="Times New Roman" w:ascii="Times New Roman" w:hAnsi="Times New Roman"/>
            <w:color w:val="000000" w:themeColor="text1"/>
            <w:sz w:val="28"/>
            <w:szCs w:val="28"/>
          </w:rPr>
          <w:t>паспорт</w:t>
        </w:r>
      </w:hyperlink>
      <w:r>
        <w:rPr>
          <w:rFonts w:cs="Times New Roman" w:ascii="Times New Roman" w:hAnsi="Times New Roman"/>
          <w:sz w:val="28"/>
          <w:szCs w:val="28"/>
        </w:rPr>
        <w:t xml:space="preserve"> проекта по форме согласно приложению 3 к настоящему Порядку;</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копию муниципальной программы, предусматривающей мероприятия по благоустройству сельских территорий;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копии документов о принятии решения о реализации на территории населенного пункта мероприятий по благоустройству сельских территорий;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выписку из нормативного правового акта муниципального образования, подтверждающую наличие бюджетных ассигнований на реализацию мероприятий по благоустройству сельских территорий;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копии документов (соглашений, протоколов собраний), подтверждающих участие граждан, юридических лиц и индивидуальных предпринимателей в реализации проекта, в том числе денежными средствами, трудовым участием (в количественном выражении), предоставлением помещений, технических средств, заверенные подписью уполномоченного лица муниципального образования и печатью;</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техническую документацию в зависимости от вида работ (проектная документация, рабочий проект, локальная смета, сводный сметный расчет, прейскурант, прайс-лист и др.);</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копии документов об утверждении проектной документации;</w:t>
      </w:r>
    </w:p>
    <w:p>
      <w:pPr>
        <w:pStyle w:val="ConsPlusNormal1"/>
        <w:ind w:firstLine="540"/>
        <w:jc w:val="both"/>
        <w:rPr>
          <w:rFonts w:ascii="Times New Roman" w:hAnsi="Times New Roman" w:cs="Times New Roman"/>
          <w:color w:val="000000" w:themeColor="text1"/>
          <w:sz w:val="28"/>
          <w:szCs w:val="28"/>
        </w:rPr>
      </w:pPr>
      <w:r>
        <w:rPr>
          <w:rFonts w:cs="Times New Roman" w:ascii="Times New Roman" w:hAnsi="Times New Roman"/>
          <w:sz w:val="28"/>
          <w:szCs w:val="28"/>
        </w:rPr>
        <w:t xml:space="preserve">копию положительного заключения государственной экспертизы на проект (по объектам, проектная документация которых подлежит экспертизе в соответствии с Градостроительным </w:t>
      </w:r>
      <w:hyperlink r:id="rId3">
        <w:r>
          <w:rPr>
            <w:rFonts w:cs="Times New Roman" w:ascii="Times New Roman" w:hAnsi="Times New Roman"/>
            <w:color w:val="000000" w:themeColor="text1"/>
            <w:sz w:val="28"/>
            <w:szCs w:val="28"/>
          </w:rPr>
          <w:t>кодексом</w:t>
        </w:r>
      </w:hyperlink>
      <w:r>
        <w:rPr>
          <w:rFonts w:cs="Times New Roman" w:ascii="Times New Roman" w:hAnsi="Times New Roman"/>
          <w:color w:val="000000" w:themeColor="text1"/>
          <w:sz w:val="28"/>
          <w:szCs w:val="28"/>
        </w:rPr>
        <w:t xml:space="preserve"> Российской Федерации);</w:t>
      </w:r>
    </w:p>
    <w:p>
      <w:pPr>
        <w:pStyle w:val="ConsPlusNormal1"/>
        <w:ind w:firstLine="540"/>
        <w:jc w:val="both"/>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 xml:space="preserve">копию положительного заключения о проверке достоверности определения сметной стоимости объектов капитального строительства (по объектам, проектная документация которых подлежит экспертизе в соответствии с Градостроительным </w:t>
      </w:r>
      <w:hyperlink r:id="rId4">
        <w:r>
          <w:rPr>
            <w:rFonts w:cs="Times New Roman" w:ascii="Times New Roman" w:hAnsi="Times New Roman"/>
            <w:color w:val="000000" w:themeColor="text1"/>
            <w:sz w:val="28"/>
            <w:szCs w:val="28"/>
          </w:rPr>
          <w:t>кодексом</w:t>
        </w:r>
      </w:hyperlink>
      <w:r>
        <w:rPr>
          <w:rFonts w:cs="Times New Roman" w:ascii="Times New Roman" w:hAnsi="Times New Roman"/>
          <w:color w:val="000000" w:themeColor="text1"/>
          <w:sz w:val="28"/>
          <w:szCs w:val="28"/>
        </w:rPr>
        <w:t xml:space="preserve"> Российской Федерации);</w:t>
      </w:r>
    </w:p>
    <w:p>
      <w:pPr>
        <w:pStyle w:val="ConsPlusNormal1"/>
        <w:ind w:firstLine="540"/>
        <w:jc w:val="both"/>
        <w:rPr>
          <w:rFonts w:ascii="Times New Roman" w:hAnsi="Times New Roman" w:cs="Times New Roman"/>
          <w:sz w:val="28"/>
          <w:szCs w:val="28"/>
        </w:rPr>
      </w:pPr>
      <w:r>
        <w:rPr>
          <w:rFonts w:cs="Times New Roman" w:ascii="Times New Roman" w:hAnsi="Times New Roman"/>
          <w:color w:val="000000" w:themeColor="text1"/>
          <w:sz w:val="28"/>
          <w:szCs w:val="28"/>
        </w:rPr>
        <w:t>презентацию проекта (слайдов, видео и др. при</w:t>
      </w:r>
      <w:r>
        <w:rPr>
          <w:rFonts w:cs="Times New Roman" w:ascii="Times New Roman" w:hAnsi="Times New Roman"/>
          <w:sz w:val="28"/>
          <w:szCs w:val="28"/>
        </w:rPr>
        <w:t xml:space="preserve"> наличии).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Заявитель вправе представить дополнительные материалы.</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9. Департамент регистрирует в порядке поступления в день принятия, представленные муниципального образования документы в книге регистрации учета заявок на предоставление субсидии, которая должна быть пронумерована, прошнурована, скреплена печатью департамента. Запись регистрации включает в себя регистрационный номер заявки, дату и время (часы и минуты) ее приема, сведения о лице, представившем документы, наименование органа местного самоуправления муниципального образования.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В течение 10 рабочих дней со дня окончания приема на конкурсный отбор документов, указанных </w:t>
      </w:r>
      <w:r>
        <w:rPr>
          <w:rFonts w:cs="Times New Roman" w:ascii="Times New Roman" w:hAnsi="Times New Roman"/>
          <w:color w:val="000000" w:themeColor="text1"/>
          <w:sz w:val="28"/>
          <w:szCs w:val="28"/>
        </w:rPr>
        <w:t xml:space="preserve">в </w:t>
      </w:r>
      <w:hyperlink w:anchor="P3100">
        <w:r>
          <w:rPr>
            <w:rFonts w:cs="Times New Roman" w:ascii="Times New Roman" w:hAnsi="Times New Roman"/>
            <w:color w:val="000000" w:themeColor="text1"/>
            <w:sz w:val="28"/>
            <w:szCs w:val="28"/>
          </w:rPr>
          <w:t>пункте 8</w:t>
        </w:r>
      </w:hyperlink>
      <w:r>
        <w:rPr>
          <w:rFonts w:cs="Times New Roman" w:ascii="Times New Roman" w:hAnsi="Times New Roman"/>
          <w:color w:val="000000" w:themeColor="text1"/>
          <w:sz w:val="28"/>
          <w:szCs w:val="28"/>
        </w:rPr>
        <w:t xml:space="preserve"> настоящего </w:t>
      </w:r>
      <w:r>
        <w:rPr>
          <w:rFonts w:cs="Times New Roman" w:ascii="Times New Roman" w:hAnsi="Times New Roman"/>
          <w:sz w:val="28"/>
          <w:szCs w:val="28"/>
        </w:rPr>
        <w:t>Порядка, департамент рассматривает представленные документы и по итогам конкурсного отбора принимает решение о предоставлении субсидий или об отказе в их предоставлении.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Основаниями для отказа в предоставлении субсидии является непредставление или представление не в полном объеме документов, указанных в настоящем пункте 8 настоящего Порядка.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Решение об отказе направляется заявителю в течение 5 дней с момента принятия такого решения.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Отказ в предоставлении субсидии не препятствует повторной подаче документов в установленные сроки, в случае если будут устранены недостатки, послужившие основанием для отказа.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10. Размер субсидии бюджету i-го муниципального образования в целях софинансирования реализации мероприятий по благоустройству сельских территорий (S</w:t>
      </w:r>
      <w:r>
        <w:rPr>
          <w:rFonts w:cs="Times New Roman" w:ascii="Times New Roman" w:hAnsi="Times New Roman"/>
          <w:sz w:val="28"/>
          <w:szCs w:val="28"/>
          <w:vertAlign w:val="subscript"/>
        </w:rPr>
        <w:t>i</w:t>
      </w:r>
      <w:r>
        <w:rPr>
          <w:rFonts w:cs="Times New Roman" w:ascii="Times New Roman" w:hAnsi="Times New Roman"/>
          <w:sz w:val="28"/>
          <w:szCs w:val="28"/>
        </w:rPr>
        <w:t>) определяется по формуле:</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jc w:val="center"/>
        <w:rPr>
          <w:rFonts w:ascii="Times New Roman" w:hAnsi="Times New Roman" w:cs="Times New Roman"/>
          <w:sz w:val="28"/>
          <w:szCs w:val="28"/>
        </w:rPr>
      </w:pPr>
      <w:r>
        <w:rPr>
          <w:rFonts w:cs="Times New Roman" w:ascii="Times New Roman" w:hAnsi="Times New Roman"/>
          <w:sz w:val="28"/>
          <w:szCs w:val="28"/>
        </w:rPr>
        <w:t>S</w:t>
      </w:r>
      <w:r>
        <w:rPr>
          <w:rFonts w:cs="Times New Roman" w:ascii="Times New Roman" w:hAnsi="Times New Roman"/>
          <w:sz w:val="28"/>
          <w:szCs w:val="28"/>
          <w:vertAlign w:val="subscript"/>
        </w:rPr>
        <w:t>i</w:t>
      </w:r>
      <w:r>
        <w:rPr>
          <w:rFonts w:cs="Times New Roman" w:ascii="Times New Roman" w:hAnsi="Times New Roman"/>
          <w:sz w:val="28"/>
          <w:szCs w:val="28"/>
        </w:rPr>
        <w:t xml:space="preserve"> = X * C</w:t>
      </w:r>
      <w:r>
        <w:rPr>
          <w:rFonts w:cs="Times New Roman" w:ascii="Times New Roman" w:hAnsi="Times New Roman"/>
          <w:sz w:val="28"/>
          <w:szCs w:val="28"/>
          <w:vertAlign w:val="subscript"/>
        </w:rPr>
        <w:t>обл</w:t>
      </w:r>
      <w:r>
        <w:rPr>
          <w:rFonts w:cs="Times New Roman" w:ascii="Times New Roman" w:hAnsi="Times New Roman"/>
          <w:sz w:val="28"/>
          <w:szCs w:val="28"/>
        </w:rPr>
        <w:t xml:space="preserve"> / P, где:</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X - стоимость проекта муниципального образования;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C</w:t>
      </w:r>
      <w:r>
        <w:rPr>
          <w:rFonts w:cs="Times New Roman" w:ascii="Times New Roman" w:hAnsi="Times New Roman"/>
          <w:sz w:val="28"/>
          <w:szCs w:val="28"/>
          <w:vertAlign w:val="subscript"/>
        </w:rPr>
        <w:t>обл</w:t>
      </w:r>
      <w:r>
        <w:rPr>
          <w:rFonts w:cs="Times New Roman" w:ascii="Times New Roman" w:hAnsi="Times New Roman"/>
          <w:sz w:val="28"/>
          <w:szCs w:val="28"/>
        </w:rPr>
        <w:t xml:space="preserve"> - объем средств областного бюджета на мероприятия по благоустройству сельских территорий;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P - общая стоимость проектов по Брянской области.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Определенный в результате расчета объем субсидий муниципальных образований на очередной финансовый год уточняется согласно выделенным бюджетным ассигнованиям из областного бюджета на очередной финансовый год.</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В случае если размер средств из областного бюджета на очередной финансовый год на реализацию мероприятий, указанных </w:t>
      </w:r>
      <w:r>
        <w:rPr>
          <w:rFonts w:cs="Times New Roman" w:ascii="Times New Roman" w:hAnsi="Times New Roman"/>
          <w:color w:val="000000" w:themeColor="text1"/>
          <w:sz w:val="28"/>
          <w:szCs w:val="28"/>
        </w:rPr>
        <w:t xml:space="preserve">в </w:t>
      </w:r>
      <w:hyperlink w:anchor="P3071">
        <w:r>
          <w:rPr>
            <w:rFonts w:cs="Times New Roman" w:ascii="Times New Roman" w:hAnsi="Times New Roman"/>
            <w:color w:val="000000" w:themeColor="text1"/>
            <w:sz w:val="28"/>
            <w:szCs w:val="28"/>
          </w:rPr>
          <w:t>пункте 2</w:t>
        </w:r>
      </w:hyperlink>
      <w:r>
        <w:rPr>
          <w:rFonts w:cs="Times New Roman" w:ascii="Times New Roman" w:hAnsi="Times New Roman"/>
          <w:color w:val="000000" w:themeColor="text1"/>
          <w:sz w:val="28"/>
          <w:szCs w:val="28"/>
        </w:rPr>
        <w:t xml:space="preserve"> Порядка, не позволяет обеспечить установленный в соответствии с </w:t>
      </w:r>
      <w:hyperlink w:anchor="P3088">
        <w:r>
          <w:rPr>
            <w:rFonts w:cs="Times New Roman" w:ascii="Times New Roman" w:hAnsi="Times New Roman"/>
            <w:color w:val="000000" w:themeColor="text1"/>
            <w:sz w:val="28"/>
            <w:szCs w:val="28"/>
          </w:rPr>
          <w:t>пунктом 4</w:t>
        </w:r>
      </w:hyperlink>
      <w:r>
        <w:rPr>
          <w:rFonts w:cs="Times New Roman" w:ascii="Times New Roman" w:hAnsi="Times New Roman"/>
          <w:sz w:val="28"/>
          <w:szCs w:val="28"/>
        </w:rPr>
        <w:t xml:space="preserve"> Порядка уровень софинансирования за счет субсидий, финансовое обеспечение оставшейся части стоимости проекта осуществляется за счет средств бюджета муниципального образования, а также обязательного вклада граждан и юридических лиц (индивидуальных предпринимателей).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11. Предоставление субсидий из областного бюджета бюджетам муниципальных образований осуществляется в установленном законом порядке и в пределах лимитов бюджетных обязательств, предусмотренных департаменту,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 случае выделения в текущем финансовом году дополнительных средств на мероприятия по благоустройству сельских территорий, субсидии предоставляются на реализацию дополнительных проектов согласно настоящему Порядку с целью достижения дополнительных результатов использования субсидий.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12. Распределение субсидий между муниципальными образованиями устанавливается законом Брянской области об областном бюджете на соответствующий финансовый год и на плановый период и (или) нормативными правовыми актами Правительства Брянской области.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13. Предоставление субсидий осуществляется на основании соглашения о предоставлении субсидии.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 случае отсутствия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полномочий по вопросам местного значения предоставление субсидий из областного бюджета осуществляется на основании соглашения, подготавливаемого (формируемого) и заключаемого в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Форма соглашения (дополнительных соглашений к соглашению, предусматривающих внесение в него изменений и его расторжение) утверждается департаментом.</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 случае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полномочий по вопросам местного значения предоставление субсидий осуществляется на основании соглашения, подготавливаемого (формируемого) и заключаемого в государственной интегрированной информационной системе управления общественными финансами «Электронный бюджет».</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14. В случае несоблюдения органом местного самоуправления муниципального образования обязательств, предусмотренных соглашением, департамент вправе приостановить перечисление субсидии, о чем информирует орган местного самоуправления муниципального образования с указанием причин и срока, необходимого для устранения нарушений.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В случае не устранения органом местного самоуправления муниципального образования допущенных нарушений в установленный срок размер субсидии подлежит сокращению, а высвобождающиеся средства перераспределяются департаментом между другими муниципальными образованиями, имеющими право на получение субсидий в соответствии с </w:t>
      </w:r>
      <w:hyperlink w:anchor="P3093">
        <w:r>
          <w:rPr>
            <w:rFonts w:cs="Times New Roman" w:ascii="Times New Roman" w:hAnsi="Times New Roman"/>
            <w:color w:val="000000" w:themeColor="text1"/>
            <w:sz w:val="28"/>
            <w:szCs w:val="28"/>
          </w:rPr>
          <w:t>пунктами 6</w:t>
        </w:r>
      </w:hyperlink>
      <w:r>
        <w:rPr>
          <w:rFonts w:cs="Times New Roman" w:ascii="Times New Roman" w:hAnsi="Times New Roman"/>
          <w:color w:val="000000" w:themeColor="text1"/>
          <w:sz w:val="28"/>
          <w:szCs w:val="28"/>
        </w:rPr>
        <w:t xml:space="preserve"> - </w:t>
      </w:r>
      <w:hyperlink w:anchor="P3100">
        <w:r>
          <w:rPr>
            <w:rFonts w:cs="Times New Roman" w:ascii="Times New Roman" w:hAnsi="Times New Roman"/>
            <w:color w:val="000000" w:themeColor="text1"/>
            <w:sz w:val="28"/>
            <w:szCs w:val="28"/>
          </w:rPr>
          <w:t>8</w:t>
        </w:r>
      </w:hyperlink>
      <w:r>
        <w:rPr>
          <w:rFonts w:cs="Times New Roman" w:ascii="Times New Roman" w:hAnsi="Times New Roman"/>
          <w:color w:val="000000" w:themeColor="text1"/>
          <w:sz w:val="28"/>
          <w:szCs w:val="28"/>
        </w:rPr>
        <w:t xml:space="preserve"> на</w:t>
      </w:r>
      <w:r>
        <w:rPr>
          <w:rFonts w:cs="Times New Roman" w:ascii="Times New Roman" w:hAnsi="Times New Roman"/>
          <w:sz w:val="28"/>
          <w:szCs w:val="28"/>
        </w:rPr>
        <w:t>стоящего Порядка.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15. Внесение изменений в распределение субсидий осуществляется в соответствии </w:t>
      </w:r>
      <w:r>
        <w:rPr>
          <w:rFonts w:cs="Times New Roman" w:ascii="Times New Roman" w:hAnsi="Times New Roman"/>
          <w:color w:val="000000" w:themeColor="text1"/>
          <w:sz w:val="28"/>
          <w:szCs w:val="28"/>
        </w:rPr>
        <w:t xml:space="preserve">со </w:t>
      </w:r>
      <w:hyperlink r:id="rId5">
        <w:r>
          <w:rPr>
            <w:rFonts w:cs="Times New Roman" w:ascii="Times New Roman" w:hAnsi="Times New Roman"/>
            <w:color w:val="000000" w:themeColor="text1"/>
            <w:sz w:val="28"/>
            <w:szCs w:val="28"/>
          </w:rPr>
          <w:t>статьей 13</w:t>
        </w:r>
      </w:hyperlink>
      <w:r>
        <w:rPr>
          <w:rFonts w:cs="Times New Roman" w:ascii="Times New Roman" w:hAnsi="Times New Roman"/>
          <w:color w:val="000000" w:themeColor="text1"/>
          <w:sz w:val="28"/>
          <w:szCs w:val="28"/>
        </w:rPr>
        <w:t xml:space="preserve"> Закона </w:t>
      </w:r>
      <w:r>
        <w:rPr>
          <w:rFonts w:cs="Times New Roman" w:ascii="Times New Roman" w:hAnsi="Times New Roman"/>
          <w:sz w:val="28"/>
          <w:szCs w:val="28"/>
        </w:rPr>
        <w:t>Брянской области от 2 ноября 2016 года      № 89-З «О межбюджетных отношениях в Брянской области».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16. Эффективность использования субсидий оценивается ежегодно на основе результата использования субсидии - количества реализованных проектов.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Оценка эффективности использования субсидии производится путем сравнения фактически достигнутого результата использования субсидии за соответствующий год со значением результата использования субсидии, предусмотренным соглашением.</w:t>
      </w:r>
    </w:p>
    <w:p>
      <w:pPr>
        <w:pStyle w:val="ConsPlusNormal1"/>
        <w:ind w:firstLine="540"/>
        <w:jc w:val="both"/>
        <w:rPr>
          <w:rFonts w:ascii="Times New Roman" w:hAnsi="Times New Roman" w:cs="Times New Roman"/>
          <w:sz w:val="28"/>
          <w:szCs w:val="28"/>
        </w:rPr>
      </w:pPr>
      <w:bookmarkStart w:id="5" w:name="P3140"/>
      <w:bookmarkEnd w:id="5"/>
      <w:r>
        <w:rPr>
          <w:rFonts w:cs="Times New Roman" w:ascii="Times New Roman" w:hAnsi="Times New Roman"/>
          <w:sz w:val="28"/>
          <w:szCs w:val="28"/>
        </w:rPr>
        <w:t xml:space="preserve">17.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w:t>
      </w:r>
      <w:r>
        <w:rPr>
          <w:rFonts w:cs="Times New Roman" w:ascii="Times New Roman" w:hAnsi="Times New Roman"/>
          <w:color w:val="000000" w:themeColor="text1"/>
          <w:sz w:val="28"/>
          <w:szCs w:val="28"/>
        </w:rPr>
        <w:t xml:space="preserve">соответствии с </w:t>
      </w:r>
      <w:hyperlink r:id="rId6">
        <w:r>
          <w:rPr>
            <w:rFonts w:cs="Times New Roman" w:ascii="Times New Roman" w:hAnsi="Times New Roman"/>
            <w:color w:val="000000" w:themeColor="text1"/>
            <w:sz w:val="28"/>
            <w:szCs w:val="28"/>
          </w:rPr>
          <w:t>подпунктом «б» пункта 10</w:t>
        </w:r>
      </w:hyperlink>
      <w:r>
        <w:rPr>
          <w:rFonts w:cs="Times New Roman" w:ascii="Times New Roman" w:hAnsi="Times New Roman"/>
          <w:sz w:val="28"/>
          <w:szCs w:val="28"/>
        </w:rPr>
        <w:t xml:space="preserve"> Правил формирования, предоставления и распределения субсидий, и в срок до первой даты представления отчетности о достижении значений результата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июня года, следующего за годом предоставления субсидии, рассчитывается в соответствии с </w:t>
      </w:r>
      <w:hyperlink r:id="rId7">
        <w:r>
          <w:rPr>
            <w:rFonts w:cs="Times New Roman" w:ascii="Times New Roman" w:hAnsi="Times New Roman"/>
            <w:color w:val="000000" w:themeColor="text1"/>
            <w:sz w:val="28"/>
            <w:szCs w:val="28"/>
          </w:rPr>
          <w:t>пунктами 16</w:t>
        </w:r>
      </w:hyperlink>
      <w:r>
        <w:rPr>
          <w:rFonts w:cs="Times New Roman" w:ascii="Times New Roman" w:hAnsi="Times New Roman"/>
          <w:color w:val="000000" w:themeColor="text1"/>
          <w:sz w:val="28"/>
          <w:szCs w:val="28"/>
        </w:rPr>
        <w:t xml:space="preserve"> - </w:t>
      </w:r>
      <w:hyperlink r:id="rId8">
        <w:r>
          <w:rPr>
            <w:rFonts w:cs="Times New Roman" w:ascii="Times New Roman" w:hAnsi="Times New Roman"/>
            <w:color w:val="000000" w:themeColor="text1"/>
            <w:sz w:val="28"/>
            <w:szCs w:val="28"/>
          </w:rPr>
          <w:t>18</w:t>
        </w:r>
      </w:hyperlink>
      <w:r>
        <w:rPr>
          <w:rFonts w:cs="Times New Roman" w:ascii="Times New Roman" w:hAnsi="Times New Roman"/>
          <w:color w:val="000000" w:themeColor="text1"/>
          <w:sz w:val="28"/>
          <w:szCs w:val="28"/>
        </w:rPr>
        <w:t xml:space="preserve"> </w:t>
      </w:r>
      <w:r>
        <w:rPr>
          <w:rFonts w:cs="Times New Roman" w:ascii="Times New Roman" w:hAnsi="Times New Roman"/>
          <w:sz w:val="28"/>
          <w:szCs w:val="28"/>
        </w:rPr>
        <w:t>Правил формирования, предоставления и распределения субсидий.</w:t>
      </w:r>
    </w:p>
    <w:p>
      <w:pPr>
        <w:pStyle w:val="ConsPlusNormal1"/>
        <w:ind w:firstLine="540"/>
        <w:jc w:val="both"/>
        <w:rPr>
          <w:rFonts w:ascii="Times New Roman" w:hAnsi="Times New Roman" w:cs="Times New Roman"/>
          <w:sz w:val="28"/>
          <w:szCs w:val="28"/>
        </w:rPr>
      </w:pPr>
      <w:bookmarkStart w:id="6" w:name="P3142"/>
      <w:bookmarkEnd w:id="6"/>
      <w:r>
        <w:rPr>
          <w:rFonts w:cs="Times New Roman" w:ascii="Times New Roman" w:hAnsi="Times New Roman"/>
          <w:sz w:val="28"/>
          <w:szCs w:val="28"/>
        </w:rPr>
        <w:t xml:space="preserve">18.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w:t>
      </w:r>
      <w:r>
        <w:rPr>
          <w:rFonts w:cs="Times New Roman" w:ascii="Times New Roman" w:hAnsi="Times New Roman"/>
          <w:color w:val="000000" w:themeColor="text1"/>
          <w:sz w:val="28"/>
          <w:szCs w:val="28"/>
        </w:rPr>
        <w:t xml:space="preserve">с </w:t>
      </w:r>
      <w:hyperlink r:id="rId9">
        <w:r>
          <w:rPr>
            <w:rFonts w:cs="Times New Roman" w:ascii="Times New Roman" w:hAnsi="Times New Roman"/>
            <w:color w:val="000000" w:themeColor="text1"/>
            <w:sz w:val="28"/>
            <w:szCs w:val="28"/>
          </w:rPr>
          <w:t>подпунктом «в» пункта 10</w:t>
        </w:r>
      </w:hyperlink>
      <w:r>
        <w:rPr>
          <w:rFonts w:cs="Times New Roman" w:ascii="Times New Roman" w:hAnsi="Times New Roman"/>
          <w:sz w:val="28"/>
          <w:szCs w:val="28"/>
        </w:rPr>
        <w:t xml:space="preserve"> Правил формирования, предоставления и распределения субсидий,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размеру субсидии на софинансирование капитальных вложений в объекты муниципальной собственности, по которым допущено нарушение графика выполнения мероприятий по проектированию и (или) строительству (реконструкции, техническому перевооружению) объектов капитального строительства и (или) приобретению объектов недвижимого имущества, без учета размера остатка субсидии по указанным объектам муниципальной собственности, не использованного по состоянию на 1 января текущего финансового года, подлежит возврату из бюджета муниципального образования в доход областного бюджета в срок до 1 июня года, следующего за годом предоставления субсидии, если органом местного самоуправления муниципального образования, допустившем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w:t>
      </w:r>
      <w:hyperlink r:id="rId10">
        <w:r>
          <w:rPr>
            <w:rFonts w:cs="Times New Roman" w:ascii="Times New Roman" w:hAnsi="Times New Roman"/>
            <w:color w:val="000000" w:themeColor="text1"/>
            <w:sz w:val="28"/>
            <w:szCs w:val="28"/>
          </w:rPr>
          <w:t>абзацем седьмым пункта 20</w:t>
        </w:r>
      </w:hyperlink>
      <w:r>
        <w:rPr>
          <w:rFonts w:cs="Times New Roman" w:ascii="Times New Roman" w:hAnsi="Times New Roman"/>
          <w:color w:val="000000" w:themeColor="text1"/>
          <w:sz w:val="28"/>
          <w:szCs w:val="28"/>
        </w:rPr>
        <w:t xml:space="preserve"> Правил формирования, предоставления и распределения субсидий</w:t>
      </w:r>
      <w:r>
        <w:rPr>
          <w:rFonts w:cs="Times New Roman" w:ascii="Times New Roman" w:hAnsi="Times New Roman"/>
          <w:sz w:val="28"/>
          <w:szCs w:val="28"/>
        </w:rPr>
        <w:t>.</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В случае одновременного нарушения муниципальным образованием обязательств, предусмотренных соглашением в соответствии с </w:t>
      </w:r>
      <w:hyperlink r:id="rId11">
        <w:r>
          <w:rPr>
            <w:rFonts w:cs="Times New Roman" w:ascii="Times New Roman" w:hAnsi="Times New Roman"/>
            <w:color w:val="0000FF"/>
            <w:sz w:val="28"/>
            <w:szCs w:val="28"/>
          </w:rPr>
          <w:t>подпунктами "б"</w:t>
        </w:r>
      </w:hyperlink>
      <w:r>
        <w:rPr>
          <w:rFonts w:cs="Times New Roman" w:ascii="Times New Roman" w:hAnsi="Times New Roman"/>
          <w:sz w:val="28"/>
          <w:szCs w:val="28"/>
        </w:rPr>
        <w:t xml:space="preserve">, </w:t>
      </w:r>
      <w:hyperlink r:id="rId12">
        <w:r>
          <w:rPr>
            <w:rFonts w:cs="Times New Roman" w:ascii="Times New Roman" w:hAnsi="Times New Roman"/>
            <w:color w:val="0000FF"/>
            <w:sz w:val="28"/>
            <w:szCs w:val="28"/>
          </w:rPr>
          <w:t>"в" пункта 10</w:t>
        </w:r>
      </w:hyperlink>
      <w:r>
        <w:rPr>
          <w:rFonts w:cs="Times New Roman" w:ascii="Times New Roman" w:hAnsi="Times New Roman"/>
          <w:sz w:val="28"/>
          <w:szCs w:val="28"/>
        </w:rPr>
        <w:t xml:space="preserve"> Правил формирования, предоставления и распределения субсидий,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w:t>
      </w:r>
      <w:hyperlink w:anchor="P3142">
        <w:r>
          <w:rPr>
            <w:rFonts w:cs="Times New Roman" w:ascii="Times New Roman" w:hAnsi="Times New Roman"/>
            <w:color w:val="0000FF"/>
            <w:sz w:val="28"/>
            <w:szCs w:val="28"/>
          </w:rPr>
          <w:t>абзацем первым</w:t>
        </w:r>
      </w:hyperlink>
      <w:r>
        <w:rPr>
          <w:rFonts w:cs="Times New Roman" w:ascii="Times New Roman" w:hAnsi="Times New Roman"/>
          <w:sz w:val="28"/>
          <w:szCs w:val="28"/>
        </w:rPr>
        <w:t xml:space="preserve"> настоящего пункта.</w:t>
      </w:r>
    </w:p>
    <w:p>
      <w:pPr>
        <w:pStyle w:val="ConsPlusNormal1"/>
        <w:ind w:firstLine="540"/>
        <w:jc w:val="both"/>
        <w:rPr>
          <w:rFonts w:ascii="Times New Roman" w:hAnsi="Times New Roman" w:cs="Times New Roman"/>
          <w:sz w:val="28"/>
          <w:szCs w:val="28"/>
        </w:rPr>
      </w:pPr>
      <w:bookmarkStart w:id="7" w:name="P3144"/>
      <w:bookmarkEnd w:id="7"/>
      <w:r>
        <w:rPr>
          <w:rFonts w:cs="Times New Roman" w:ascii="Times New Roman" w:hAnsi="Times New Roman"/>
          <w:sz w:val="28"/>
          <w:szCs w:val="28"/>
        </w:rPr>
        <w:t xml:space="preserve">19. Расчет объема средств, подлежащих возврату из бюджета муниципального образования в областной бюджет, в случае предоставления консолидированной субсидии осуществляется отдельно для каждого мероприятия и (или) объекта капитального строительства (объекта недвижимого имущества), в отношении которого допущены нарушения обязательств, предусмотренных соглашением в соответствии с </w:t>
      </w:r>
      <w:hyperlink r:id="rId13">
        <w:r>
          <w:rPr>
            <w:rFonts w:cs="Times New Roman" w:ascii="Times New Roman" w:hAnsi="Times New Roman"/>
            <w:color w:val="000000" w:themeColor="text1"/>
            <w:sz w:val="28"/>
            <w:szCs w:val="28"/>
          </w:rPr>
          <w:t>подпунктами «б</w:t>
        </w:r>
      </w:hyperlink>
      <w:r>
        <w:rPr>
          <w:rFonts w:cs="Times New Roman" w:ascii="Times New Roman" w:hAnsi="Times New Roman"/>
          <w:color w:val="000000" w:themeColor="text1"/>
          <w:sz w:val="28"/>
          <w:szCs w:val="28"/>
        </w:rPr>
        <w:t xml:space="preserve">» и </w:t>
      </w:r>
      <w:hyperlink r:id="rId14">
        <w:r>
          <w:rPr>
            <w:rFonts w:cs="Times New Roman" w:ascii="Times New Roman" w:hAnsi="Times New Roman"/>
            <w:color w:val="000000" w:themeColor="text1"/>
            <w:sz w:val="28"/>
            <w:szCs w:val="28"/>
          </w:rPr>
          <w:t>«в» пункта 10</w:t>
        </w:r>
      </w:hyperlink>
      <w:r>
        <w:rPr>
          <w:rFonts w:cs="Times New Roman" w:ascii="Times New Roman" w:hAnsi="Times New Roman"/>
          <w:color w:val="000000" w:themeColor="text1"/>
          <w:sz w:val="28"/>
          <w:szCs w:val="28"/>
        </w:rPr>
        <w:t xml:space="preserve"> Правил формирования, предоставления и распред</w:t>
      </w:r>
      <w:r>
        <w:rPr>
          <w:rFonts w:cs="Times New Roman" w:ascii="Times New Roman" w:hAnsi="Times New Roman"/>
          <w:sz w:val="28"/>
          <w:szCs w:val="28"/>
        </w:rPr>
        <w:t xml:space="preserve">еления субсидий, с учетом применения значений результата использования консолидированной субсидии, предусмотренных для такого мероприятия и (или) объекта капитального строительства (объекта недвижимого имущества) в соответствующих правилах предоставления субсидии. Общий объем средств, подлежащих возврату, определяется как сумма объемов средств, подлежащих возврату, для каждого из мероприятий и (или) объектов капитального строительства (объектов недвижимого имущества) в соответствии с </w:t>
      </w:r>
      <w:hyperlink r:id="rId15">
        <w:r>
          <w:rPr>
            <w:rFonts w:cs="Times New Roman" w:ascii="Times New Roman" w:hAnsi="Times New Roman"/>
            <w:color w:val="000000" w:themeColor="text1"/>
            <w:sz w:val="28"/>
            <w:szCs w:val="28"/>
          </w:rPr>
          <w:t>пунктами 16</w:t>
        </w:r>
      </w:hyperlink>
      <w:r>
        <w:rPr>
          <w:rFonts w:cs="Times New Roman" w:ascii="Times New Roman" w:hAnsi="Times New Roman"/>
          <w:color w:val="000000" w:themeColor="text1"/>
          <w:sz w:val="28"/>
          <w:szCs w:val="28"/>
        </w:rPr>
        <w:t xml:space="preserve"> и (или) </w:t>
      </w:r>
      <w:hyperlink r:id="rId16">
        <w:r>
          <w:rPr>
            <w:rFonts w:cs="Times New Roman" w:ascii="Times New Roman" w:hAnsi="Times New Roman"/>
            <w:color w:val="000000" w:themeColor="text1"/>
            <w:sz w:val="28"/>
            <w:szCs w:val="28"/>
          </w:rPr>
          <w:t>19</w:t>
        </w:r>
      </w:hyperlink>
      <w:r>
        <w:rPr>
          <w:rFonts w:cs="Times New Roman" w:ascii="Times New Roman" w:hAnsi="Times New Roman"/>
          <w:color w:val="000000" w:themeColor="text1"/>
          <w:sz w:val="28"/>
          <w:szCs w:val="28"/>
        </w:rPr>
        <w:t xml:space="preserve"> П</w:t>
      </w:r>
      <w:r>
        <w:rPr>
          <w:rFonts w:cs="Times New Roman" w:ascii="Times New Roman" w:hAnsi="Times New Roman"/>
          <w:sz w:val="28"/>
          <w:szCs w:val="28"/>
        </w:rPr>
        <w:t>равил формирования, предоставления и распределения субсидий, в отношении которых были допущены нарушения.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20. Основанием для освобождения муниципальных образований от применения мер ответственности, предусмотренных </w:t>
      </w:r>
      <w:hyperlink w:anchor="P3140">
        <w:r>
          <w:rPr>
            <w:rFonts w:cs="Times New Roman" w:ascii="Times New Roman" w:hAnsi="Times New Roman"/>
            <w:color w:val="000000" w:themeColor="text1"/>
            <w:sz w:val="28"/>
            <w:szCs w:val="28"/>
          </w:rPr>
          <w:t>пунктами 17</w:t>
        </w:r>
      </w:hyperlink>
      <w:r>
        <w:rPr>
          <w:rFonts w:cs="Times New Roman" w:ascii="Times New Roman" w:hAnsi="Times New Roman"/>
          <w:color w:val="000000" w:themeColor="text1"/>
          <w:sz w:val="28"/>
          <w:szCs w:val="28"/>
        </w:rPr>
        <w:t xml:space="preserve">, </w:t>
      </w:r>
      <w:hyperlink w:anchor="P3142">
        <w:r>
          <w:rPr>
            <w:rFonts w:cs="Times New Roman" w:ascii="Times New Roman" w:hAnsi="Times New Roman"/>
            <w:color w:val="000000" w:themeColor="text1"/>
            <w:sz w:val="28"/>
            <w:szCs w:val="28"/>
          </w:rPr>
          <w:t>18</w:t>
        </w:r>
      </w:hyperlink>
      <w:r>
        <w:rPr>
          <w:rFonts w:cs="Times New Roman" w:ascii="Times New Roman" w:hAnsi="Times New Roman"/>
          <w:color w:val="000000" w:themeColor="text1"/>
          <w:sz w:val="28"/>
          <w:szCs w:val="28"/>
        </w:rPr>
        <w:t xml:space="preserve"> и </w:t>
      </w:r>
      <w:hyperlink w:anchor="P3144">
        <w:r>
          <w:rPr>
            <w:rFonts w:cs="Times New Roman" w:ascii="Times New Roman" w:hAnsi="Times New Roman"/>
            <w:color w:val="000000" w:themeColor="text1"/>
            <w:sz w:val="28"/>
            <w:szCs w:val="28"/>
          </w:rPr>
          <w:t>19</w:t>
        </w:r>
      </w:hyperlink>
      <w:r>
        <w:rPr>
          <w:rFonts w:cs="Times New Roman" w:ascii="Times New Roman" w:hAnsi="Times New Roman"/>
          <w:color w:val="000000" w:themeColor="text1"/>
          <w:sz w:val="28"/>
          <w:szCs w:val="28"/>
        </w:rPr>
        <w:t xml:space="preserve"> настоящего Порядка, является документально подтвержденное наступление обстоятельств непреодолимой силы установленных </w:t>
      </w:r>
      <w:hyperlink r:id="rId17">
        <w:r>
          <w:rPr>
            <w:rFonts w:cs="Times New Roman" w:ascii="Times New Roman" w:hAnsi="Times New Roman"/>
            <w:color w:val="000000" w:themeColor="text1"/>
            <w:sz w:val="28"/>
            <w:szCs w:val="28"/>
          </w:rPr>
          <w:t>пунктом 20</w:t>
        </w:r>
      </w:hyperlink>
      <w:r>
        <w:rPr>
          <w:rFonts w:cs="Times New Roman" w:ascii="Times New Roman" w:hAnsi="Times New Roman"/>
          <w:color w:val="000000" w:themeColor="text1"/>
          <w:sz w:val="28"/>
          <w:szCs w:val="28"/>
        </w:rPr>
        <w:t xml:space="preserve"> Прави</w:t>
      </w:r>
      <w:r>
        <w:rPr>
          <w:rFonts w:cs="Times New Roman" w:ascii="Times New Roman" w:hAnsi="Times New Roman"/>
          <w:sz w:val="28"/>
          <w:szCs w:val="28"/>
        </w:rPr>
        <w:t>л формирования, предоставления и распределения субсидий, и препятствующих исполнению соответствующих обязательств.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21. Расходование средств субсидии осуществляется в соответствии с муниципальным контрактом (договором), заключенным в соответствии с Федеральным</w:t>
      </w:r>
      <w:r>
        <w:rPr>
          <w:rFonts w:cs="Times New Roman" w:ascii="Times New Roman" w:hAnsi="Times New Roman"/>
          <w:color w:val="000000" w:themeColor="text1"/>
          <w:sz w:val="28"/>
          <w:szCs w:val="28"/>
        </w:rPr>
        <w:t xml:space="preserve"> </w:t>
      </w:r>
      <w:hyperlink r:id="rId18">
        <w:r>
          <w:rPr>
            <w:rFonts w:cs="Times New Roman" w:ascii="Times New Roman" w:hAnsi="Times New Roman"/>
            <w:color w:val="000000" w:themeColor="text1"/>
            <w:sz w:val="28"/>
            <w:szCs w:val="28"/>
          </w:rPr>
          <w:t>законом</w:t>
        </w:r>
      </w:hyperlink>
      <w:r>
        <w:rPr>
          <w:rFonts w:cs="Times New Roman" w:ascii="Times New Roman" w:hAnsi="Times New Roman"/>
          <w:sz w:val="28"/>
          <w:szCs w:val="28"/>
        </w:rPr>
        <w:t xml:space="preserve"> от 5 апреля 2013 года №44-ФЗ «О контрактной системе в сфере закупок товаров, работ, услуг для обеспечения государственных и муниципальных нужд».</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22. Муниципальные образования представляют департаменту документы, подтверждающие произведенные расходы.</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23. Муниципальные образования обеспечивают целевое и эффективное использование бюджетных средств. Департамент осуществляет контроль за целевым использованием бюджетных средств.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24. В случае нецелевого использования субсидии и (или) нарушения муниципальным образованием условий ее предоставления, в том числе невозврата средств в областной бюджет в соответствии с </w:t>
      </w:r>
      <w:hyperlink w:anchor="P3140">
        <w:r>
          <w:rPr>
            <w:rFonts w:cs="Times New Roman" w:ascii="Times New Roman" w:hAnsi="Times New Roman"/>
            <w:color w:val="000000" w:themeColor="text1"/>
            <w:sz w:val="28"/>
            <w:szCs w:val="28"/>
          </w:rPr>
          <w:t>пунктами 17</w:t>
        </w:r>
      </w:hyperlink>
      <w:r>
        <w:rPr>
          <w:rFonts w:cs="Times New Roman" w:ascii="Times New Roman" w:hAnsi="Times New Roman"/>
          <w:color w:val="000000" w:themeColor="text1"/>
          <w:sz w:val="28"/>
          <w:szCs w:val="28"/>
        </w:rPr>
        <w:t xml:space="preserve">, </w:t>
      </w:r>
      <w:hyperlink w:anchor="P3142">
        <w:r>
          <w:rPr>
            <w:rFonts w:cs="Times New Roman" w:ascii="Times New Roman" w:hAnsi="Times New Roman"/>
            <w:color w:val="000000" w:themeColor="text1"/>
            <w:sz w:val="28"/>
            <w:szCs w:val="28"/>
          </w:rPr>
          <w:t>18</w:t>
        </w:r>
      </w:hyperlink>
      <w:r>
        <w:rPr>
          <w:rFonts w:cs="Times New Roman" w:ascii="Times New Roman" w:hAnsi="Times New Roman"/>
          <w:color w:val="000000" w:themeColor="text1"/>
          <w:sz w:val="28"/>
          <w:szCs w:val="28"/>
        </w:rPr>
        <w:t xml:space="preserve">, </w:t>
      </w:r>
      <w:hyperlink w:anchor="P3144">
        <w:r>
          <w:rPr>
            <w:rFonts w:cs="Times New Roman" w:ascii="Times New Roman" w:hAnsi="Times New Roman"/>
            <w:color w:val="000000" w:themeColor="text1"/>
            <w:sz w:val="28"/>
            <w:szCs w:val="28"/>
          </w:rPr>
          <w:t>19</w:t>
        </w:r>
      </w:hyperlink>
      <w:r>
        <w:rPr>
          <w:rFonts w:cs="Times New Roman" w:ascii="Times New Roman" w:hAnsi="Times New Roman"/>
          <w:sz w:val="28"/>
          <w:szCs w:val="28"/>
        </w:rPr>
        <w:t xml:space="preserve"> настоящего Порядка, к нему принимаются бюджетные меры принуждения, предусмотренные бюджетным законодательством Российской Федерации.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Решения о приостановлении перечисления (сокращения объема) субсидии не принимаются в случае, если условия предоставления субсидии были не выполнены в силу обстоятельств непреодолимой силы.</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25. Ответственность за достоверность представляемых в департамент сведений возлагается на муниципальные образования.</w:t>
      </w:r>
    </w:p>
    <w:p>
      <w:pPr>
        <w:pStyle w:val="ConsPlusNormal1"/>
        <w:numPr>
          <w:ilvl w:val="0"/>
          <w:numId w:val="0"/>
        </w:numPr>
        <w:jc w:val="right"/>
        <w:outlineLvl w:val="2"/>
        <w:rPr>
          <w:rFonts w:ascii="Times New Roman" w:hAnsi="Times New Roman" w:cs="Times New Roman"/>
          <w:sz w:val="24"/>
          <w:szCs w:val="24"/>
        </w:rPr>
      </w:pPr>
      <w:r>
        <w:rPr>
          <w:rFonts w:cs="Times New Roman" w:ascii="Times New Roman" w:hAnsi="Times New Roman"/>
          <w:sz w:val="24"/>
          <w:szCs w:val="24"/>
        </w:rPr>
        <w:t>Приложение 1</w:t>
      </w:r>
    </w:p>
    <w:p>
      <w:pPr>
        <w:pStyle w:val="ConsPlusNormal1"/>
        <w:jc w:val="right"/>
        <w:rPr>
          <w:rFonts w:ascii="Times New Roman" w:hAnsi="Times New Roman" w:cs="Times New Roman"/>
          <w:sz w:val="24"/>
          <w:szCs w:val="24"/>
        </w:rPr>
      </w:pPr>
      <w:r>
        <w:rPr>
          <w:rFonts w:cs="Times New Roman" w:ascii="Times New Roman" w:hAnsi="Times New Roman"/>
          <w:sz w:val="24"/>
          <w:szCs w:val="24"/>
        </w:rPr>
        <w:t>к Порядку предоставления субсидий бюджетам</w:t>
      </w:r>
    </w:p>
    <w:p>
      <w:pPr>
        <w:pStyle w:val="ConsPlusNormal1"/>
        <w:jc w:val="right"/>
        <w:rPr>
          <w:rFonts w:ascii="Times New Roman" w:hAnsi="Times New Roman" w:cs="Times New Roman"/>
          <w:sz w:val="24"/>
          <w:szCs w:val="24"/>
        </w:rPr>
      </w:pPr>
      <w:r>
        <w:rPr>
          <w:rFonts w:cs="Times New Roman" w:ascii="Times New Roman" w:hAnsi="Times New Roman"/>
          <w:sz w:val="24"/>
          <w:szCs w:val="24"/>
        </w:rPr>
        <w:t>муниципального образования на мероприятия</w:t>
      </w:r>
    </w:p>
    <w:p>
      <w:pPr>
        <w:pStyle w:val="ConsPlusNormal1"/>
        <w:jc w:val="right"/>
        <w:rPr>
          <w:rFonts w:ascii="Times New Roman" w:hAnsi="Times New Roman" w:cs="Times New Roman"/>
          <w:sz w:val="24"/>
          <w:szCs w:val="24"/>
        </w:rPr>
      </w:pPr>
      <w:r>
        <w:rPr>
          <w:rFonts w:cs="Times New Roman" w:ascii="Times New Roman" w:hAnsi="Times New Roman"/>
          <w:sz w:val="24"/>
          <w:szCs w:val="24"/>
        </w:rPr>
        <w:t>по благоустройству сельских территорий</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jc w:val="center"/>
        <w:rPr>
          <w:rFonts w:ascii="Times New Roman" w:hAnsi="Times New Roman" w:cs="Times New Roman"/>
          <w:sz w:val="28"/>
          <w:szCs w:val="28"/>
        </w:rPr>
      </w:pPr>
      <w:bookmarkStart w:id="8" w:name="P3163"/>
      <w:bookmarkEnd w:id="8"/>
      <w:r>
        <w:rPr>
          <w:rFonts w:cs="Times New Roman" w:ascii="Times New Roman" w:hAnsi="Times New Roman"/>
          <w:sz w:val="28"/>
          <w:szCs w:val="28"/>
        </w:rPr>
        <w:t>БЮДЖЕТНАЯ ЗАЯВКА</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_____________________________________ Брянской области</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(наименование муниципального образования)</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на предоставление субсидий на реализацию мероприятий</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по благоустройству сельских территорий, на 20__ год</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jc w:val="right"/>
        <w:rPr>
          <w:rFonts w:ascii="Times New Roman" w:hAnsi="Times New Roman" w:cs="Times New Roman"/>
          <w:sz w:val="28"/>
          <w:szCs w:val="28"/>
        </w:rPr>
      </w:pPr>
      <w:r>
        <w:rPr>
          <w:rFonts w:cs="Times New Roman" w:ascii="Times New Roman" w:hAnsi="Times New Roman"/>
          <w:sz w:val="28"/>
          <w:szCs w:val="28"/>
        </w:rPr>
        <w:t>(тысяч рублей)</w:t>
      </w:r>
    </w:p>
    <w:p>
      <w:pPr>
        <w:pStyle w:val="Normal"/>
        <w:spacing w:before="0" w:after="0"/>
        <w:rPr>
          <w:rFonts w:ascii="Times New Roman" w:hAnsi="Times New Roman" w:cs="Times New Roman"/>
          <w:sz w:val="28"/>
          <w:szCs w:val="28"/>
        </w:rPr>
      </w:pPr>
      <w:r>
        <w:rPr>
          <w:rFonts w:cs="Times New Roman" w:ascii="Times New Roman" w:hAnsi="Times New Roman"/>
          <w:sz w:val="28"/>
          <w:szCs w:val="28"/>
        </w:rPr>
      </w:r>
    </w:p>
    <w:tbl>
      <w:tblPr>
        <w:tblW w:w="9351" w:type="dxa"/>
        <w:jc w:val="left"/>
        <w:tblInd w:w="0" w:type="dxa"/>
        <w:tblLayout w:type="fixed"/>
        <w:tblCellMar>
          <w:top w:w="102" w:type="dxa"/>
          <w:left w:w="62" w:type="dxa"/>
          <w:bottom w:w="102" w:type="dxa"/>
          <w:right w:w="62" w:type="dxa"/>
        </w:tblCellMar>
        <w:tblLook w:firstRow="0" w:noVBand="0" w:lastRow="0" w:firstColumn="0" w:lastColumn="0" w:noHBand="0" w:val="0000"/>
      </w:tblPr>
      <w:tblGrid>
        <w:gridCol w:w="454"/>
        <w:gridCol w:w="1834"/>
        <w:gridCol w:w="888"/>
        <w:gridCol w:w="1191"/>
        <w:gridCol w:w="1160"/>
        <w:gridCol w:w="907"/>
        <w:gridCol w:w="1308"/>
        <w:gridCol w:w="1608"/>
      </w:tblGrid>
      <w:tr>
        <w:trPr/>
        <w:tc>
          <w:tcPr>
            <w:tcW w:w="454"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N п/п</w:t>
            </w:r>
          </w:p>
        </w:tc>
        <w:tc>
          <w:tcPr>
            <w:tcW w:w="1834"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Наименование мероприятия, целевого индикатора</w:t>
            </w:r>
          </w:p>
        </w:tc>
        <w:tc>
          <w:tcPr>
            <w:tcW w:w="888"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ВСЕГО</w:t>
            </w:r>
          </w:p>
        </w:tc>
        <w:tc>
          <w:tcPr>
            <w:tcW w:w="3258" w:type="dxa"/>
            <w:gridSpan w:val="3"/>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В том числе</w:t>
            </w:r>
          </w:p>
        </w:tc>
        <w:tc>
          <w:tcPr>
            <w:tcW w:w="1308"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Единица измерения целевого индикатора</w:t>
            </w:r>
          </w:p>
        </w:tc>
        <w:tc>
          <w:tcPr>
            <w:tcW w:w="1608"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Значение целевого индикатора</w:t>
            </w:r>
          </w:p>
        </w:tc>
      </w:tr>
      <w:tr>
        <w:trPr/>
        <w:tc>
          <w:tcPr>
            <w:tcW w:w="45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cs="Times New Roman"/>
                <w:sz w:val="28"/>
                <w:szCs w:val="28"/>
              </w:rPr>
            </w:pPr>
            <w:r>
              <w:rPr>
                <w:rFonts w:cs="Times New Roman" w:ascii="Times New Roman" w:hAnsi="Times New Roman"/>
                <w:sz w:val="28"/>
                <w:szCs w:val="28"/>
              </w:rPr>
            </w:r>
          </w:p>
        </w:tc>
        <w:tc>
          <w:tcPr>
            <w:tcW w:w="183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cs="Times New Roman"/>
                <w:sz w:val="28"/>
                <w:szCs w:val="28"/>
              </w:rPr>
            </w:pPr>
            <w:r>
              <w:rPr>
                <w:rFonts w:cs="Times New Roman" w:ascii="Times New Roman" w:hAnsi="Times New Roman"/>
                <w:sz w:val="28"/>
                <w:szCs w:val="28"/>
              </w:rPr>
            </w:r>
          </w:p>
        </w:tc>
        <w:tc>
          <w:tcPr>
            <w:tcW w:w="88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cs="Times New Roman"/>
                <w:sz w:val="28"/>
                <w:szCs w:val="28"/>
              </w:rPr>
            </w:pPr>
            <w:r>
              <w:rPr>
                <w:rFonts w:cs="Times New Roman" w:ascii="Times New Roman" w:hAnsi="Times New Roman"/>
                <w:sz w:val="28"/>
                <w:szCs w:val="28"/>
              </w:rPr>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запрашиваемый объем субсидии</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объем средств местных бюджетов</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объем средств внебюджетных источников</w:t>
            </w:r>
          </w:p>
        </w:tc>
        <w:tc>
          <w:tcPr>
            <w:tcW w:w="1308"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608"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454"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1.</w:t>
            </w:r>
          </w:p>
        </w:tc>
        <w:tc>
          <w:tcPr>
            <w:tcW w:w="1834"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Благоустройство сельских территорий</w:t>
            </w:r>
          </w:p>
        </w:tc>
        <w:tc>
          <w:tcPr>
            <w:tcW w:w="888"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308"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1608"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2.</w:t>
            </w:r>
          </w:p>
        </w:tc>
        <w:tc>
          <w:tcPr>
            <w:tcW w:w="183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Количество общественно значимых проектов по благоустройству территорий</w:t>
            </w:r>
          </w:p>
        </w:tc>
        <w:tc>
          <w:tcPr>
            <w:tcW w:w="888"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1308"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единица</w:t>
            </w:r>
          </w:p>
        </w:tc>
        <w:tc>
          <w:tcPr>
            <w:tcW w:w="1608"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bl>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&lt;1&gt; Сведения представляются на три года (очередной финансовый год и плановый период), отдельно на каждый год</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Глава администрации</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муниципального образования ______________       _________________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М.П.                      (подпись)          (Ф.И.О.)</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Исполнитель: ______________________________________________________________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(Ф.И.О., должность, телефон)</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 ________ 20__ года</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numPr>
          <w:ilvl w:val="0"/>
          <w:numId w:val="0"/>
        </w:numPr>
        <w:jc w:val="right"/>
        <w:outlineLvl w:val="2"/>
        <w:rPr>
          <w:rFonts w:ascii="Times New Roman" w:hAnsi="Times New Roman" w:cs="Times New Roman"/>
          <w:sz w:val="28"/>
          <w:szCs w:val="28"/>
        </w:rPr>
      </w:pPr>
      <w:r>
        <w:rPr>
          <w:rFonts w:cs="Times New Roman" w:ascii="Times New Roman" w:hAnsi="Times New Roman"/>
          <w:sz w:val="28"/>
          <w:szCs w:val="28"/>
        </w:rPr>
      </w:r>
    </w:p>
    <w:p>
      <w:pPr>
        <w:pStyle w:val="ConsPlusNormal1"/>
        <w:numPr>
          <w:ilvl w:val="0"/>
          <w:numId w:val="0"/>
        </w:numPr>
        <w:jc w:val="right"/>
        <w:outlineLvl w:val="2"/>
        <w:rPr>
          <w:rFonts w:ascii="Times New Roman" w:hAnsi="Times New Roman" w:cs="Times New Roman"/>
          <w:sz w:val="28"/>
          <w:szCs w:val="28"/>
        </w:rPr>
      </w:pPr>
      <w:r>
        <w:rPr>
          <w:rFonts w:cs="Times New Roman" w:ascii="Times New Roman" w:hAnsi="Times New Roman"/>
          <w:sz w:val="28"/>
          <w:szCs w:val="28"/>
        </w:rPr>
      </w:r>
    </w:p>
    <w:p>
      <w:pPr>
        <w:pStyle w:val="ConsPlusNormal1"/>
        <w:numPr>
          <w:ilvl w:val="0"/>
          <w:numId w:val="0"/>
        </w:numPr>
        <w:jc w:val="right"/>
        <w:outlineLvl w:val="2"/>
        <w:rPr>
          <w:rFonts w:ascii="Times New Roman" w:hAnsi="Times New Roman" w:cs="Times New Roman"/>
          <w:sz w:val="28"/>
          <w:szCs w:val="28"/>
        </w:rPr>
      </w:pPr>
      <w:r>
        <w:rPr>
          <w:rFonts w:cs="Times New Roman" w:ascii="Times New Roman" w:hAnsi="Times New Roman"/>
          <w:sz w:val="28"/>
          <w:szCs w:val="28"/>
        </w:rPr>
      </w:r>
    </w:p>
    <w:p>
      <w:pPr>
        <w:sectPr>
          <w:type w:val="nextPage"/>
          <w:pgSz w:w="11906" w:h="16838"/>
          <w:pgMar w:left="1701" w:right="851" w:header="0" w:top="1134" w:footer="0" w:bottom="1134" w:gutter="0"/>
          <w:pgNumType w:fmt="decimal"/>
          <w:formProt w:val="false"/>
          <w:textDirection w:val="lrTb"/>
          <w:docGrid w:type="default" w:linePitch="100" w:charSpace="4096"/>
        </w:sectPr>
        <w:pStyle w:val="ConsPlusNormal1"/>
        <w:numPr>
          <w:ilvl w:val="0"/>
          <w:numId w:val="0"/>
        </w:numPr>
        <w:jc w:val="right"/>
        <w:outlineLvl w:val="2"/>
        <w:rPr>
          <w:rFonts w:ascii="Times New Roman" w:hAnsi="Times New Roman" w:cs="Times New Roman"/>
          <w:sz w:val="28"/>
          <w:szCs w:val="28"/>
        </w:rPr>
      </w:pPr>
      <w:r>
        <w:rPr>
          <w:rFonts w:cs="Times New Roman" w:ascii="Times New Roman" w:hAnsi="Times New Roman"/>
          <w:sz w:val="28"/>
          <w:szCs w:val="28"/>
        </w:rPr>
      </w:r>
    </w:p>
    <w:p>
      <w:pPr>
        <w:pStyle w:val="ConsPlusNormal1"/>
        <w:numPr>
          <w:ilvl w:val="0"/>
          <w:numId w:val="0"/>
        </w:numPr>
        <w:jc w:val="right"/>
        <w:outlineLvl w:val="2"/>
        <w:rPr>
          <w:rFonts w:ascii="Times New Roman" w:hAnsi="Times New Roman" w:cs="Times New Roman"/>
          <w:sz w:val="24"/>
          <w:szCs w:val="24"/>
        </w:rPr>
      </w:pPr>
      <w:r>
        <w:rPr>
          <w:rFonts w:cs="Times New Roman" w:ascii="Times New Roman" w:hAnsi="Times New Roman"/>
          <w:sz w:val="24"/>
          <w:szCs w:val="24"/>
        </w:rPr>
        <w:t>Приложение 2</w:t>
      </w:r>
    </w:p>
    <w:p>
      <w:pPr>
        <w:pStyle w:val="ConsPlusNormal1"/>
        <w:jc w:val="right"/>
        <w:rPr>
          <w:rFonts w:ascii="Times New Roman" w:hAnsi="Times New Roman" w:cs="Times New Roman"/>
          <w:sz w:val="24"/>
          <w:szCs w:val="24"/>
        </w:rPr>
      </w:pPr>
      <w:r>
        <w:rPr>
          <w:rFonts w:cs="Times New Roman" w:ascii="Times New Roman" w:hAnsi="Times New Roman"/>
          <w:sz w:val="24"/>
          <w:szCs w:val="24"/>
        </w:rPr>
        <w:t>к Порядку предоставления субсидий бюджетам</w:t>
      </w:r>
    </w:p>
    <w:p>
      <w:pPr>
        <w:pStyle w:val="ConsPlusNormal1"/>
        <w:jc w:val="right"/>
        <w:rPr>
          <w:rFonts w:ascii="Times New Roman" w:hAnsi="Times New Roman" w:cs="Times New Roman"/>
          <w:sz w:val="24"/>
          <w:szCs w:val="24"/>
        </w:rPr>
      </w:pPr>
      <w:r>
        <w:rPr>
          <w:rFonts w:cs="Times New Roman" w:ascii="Times New Roman" w:hAnsi="Times New Roman"/>
          <w:sz w:val="24"/>
          <w:szCs w:val="24"/>
        </w:rPr>
        <w:t>муниципального образования на мероприятия</w:t>
      </w:r>
    </w:p>
    <w:p>
      <w:pPr>
        <w:pStyle w:val="ConsPlusNormal1"/>
        <w:jc w:val="right"/>
        <w:rPr>
          <w:rFonts w:ascii="Times New Roman" w:hAnsi="Times New Roman" w:cs="Times New Roman"/>
          <w:sz w:val="24"/>
          <w:szCs w:val="24"/>
        </w:rPr>
      </w:pPr>
      <w:r>
        <w:rPr>
          <w:rFonts w:cs="Times New Roman" w:ascii="Times New Roman" w:hAnsi="Times New Roman"/>
          <w:sz w:val="24"/>
          <w:szCs w:val="24"/>
        </w:rPr>
        <w:t>по благоустройству сельских территорий</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jc w:val="center"/>
        <w:rPr>
          <w:rFonts w:ascii="Times New Roman" w:hAnsi="Times New Roman" w:cs="Times New Roman"/>
          <w:sz w:val="28"/>
          <w:szCs w:val="28"/>
        </w:rPr>
      </w:pPr>
      <w:bookmarkStart w:id="9" w:name="P3217"/>
      <w:bookmarkEnd w:id="9"/>
      <w:r>
        <w:rPr>
          <w:rFonts w:cs="Times New Roman" w:ascii="Times New Roman" w:hAnsi="Times New Roman"/>
          <w:sz w:val="28"/>
          <w:szCs w:val="28"/>
        </w:rPr>
        <w:t>Перечень проектов по благоустройству сельских территорий</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_____________________________________ Брянской области</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(наименование муниципального образования)</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на предоставление субсидий</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на реализацию мероприятий по благоустройству</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сельских территорий, на 20___ год</w:t>
      </w:r>
    </w:p>
    <w:tbl>
      <w:tblPr>
        <w:tblW w:w="14596" w:type="dxa"/>
        <w:jc w:val="left"/>
        <w:tblInd w:w="0" w:type="dxa"/>
        <w:tblLayout w:type="fixed"/>
        <w:tblCellMar>
          <w:top w:w="102" w:type="dxa"/>
          <w:left w:w="62" w:type="dxa"/>
          <w:bottom w:w="102" w:type="dxa"/>
          <w:right w:w="62" w:type="dxa"/>
        </w:tblCellMar>
        <w:tblLook w:firstRow="0" w:noVBand="0" w:lastRow="0" w:firstColumn="0" w:lastColumn="0" w:noHBand="0" w:val="0000"/>
      </w:tblPr>
      <w:tblGrid>
        <w:gridCol w:w="382"/>
        <w:gridCol w:w="1740"/>
        <w:gridCol w:w="1417"/>
        <w:gridCol w:w="1417"/>
        <w:gridCol w:w="1984"/>
        <w:gridCol w:w="1277"/>
        <w:gridCol w:w="1559"/>
        <w:gridCol w:w="1276"/>
        <w:gridCol w:w="1558"/>
        <w:gridCol w:w="1984"/>
      </w:tblGrid>
      <w:tr>
        <w:trPr/>
        <w:tc>
          <w:tcPr>
            <w:tcW w:w="382"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jc w:val="both"/>
              <w:rPr>
                <w:rFonts w:ascii="Times New Roman" w:hAnsi="Times New Roman" w:cs="Times New Roman"/>
                <w:sz w:val="28"/>
                <w:szCs w:val="28"/>
              </w:rPr>
            </w:pPr>
            <w:r>
              <w:rPr>
                <w:rFonts w:cs="Times New Roman" w:ascii="Times New Roman" w:hAnsi="Times New Roman"/>
                <w:sz w:val="28"/>
                <w:szCs w:val="28"/>
              </w:rPr>
              <w:t>N п/п</w:t>
            </w:r>
          </w:p>
        </w:tc>
        <w:tc>
          <w:tcPr>
            <w:tcW w:w="1740"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Наименование проекта с указанием населенного пункта</w:t>
            </w:r>
          </w:p>
        </w:tc>
        <w:tc>
          <w:tcPr>
            <w:tcW w:w="1417"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Направления, включенные в проект &lt;2&gt;</w:t>
            </w:r>
          </w:p>
        </w:tc>
        <w:tc>
          <w:tcPr>
            <w:tcW w:w="1417"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Наименование и реквизиты документа, подтверждающего принятие решения о реализации проекта</w:t>
            </w:r>
          </w:p>
        </w:tc>
        <w:tc>
          <w:tcPr>
            <w:tcW w:w="1984"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Численность населения, подтвердившего участие в реализации проекта, человек</w:t>
            </w:r>
          </w:p>
        </w:tc>
        <w:tc>
          <w:tcPr>
            <w:tcW w:w="5670" w:type="dxa"/>
            <w:gridSpan w:val="4"/>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Стоимость проекта, тысяч рублей</w:t>
            </w:r>
          </w:p>
        </w:tc>
        <w:tc>
          <w:tcPr>
            <w:tcW w:w="1984"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Цель и ожидаемые результаты реализации проекта</w:t>
            </w:r>
          </w:p>
        </w:tc>
      </w:tr>
      <w:tr>
        <w:trPr/>
        <w:tc>
          <w:tcPr>
            <w:tcW w:w="38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cs="Times New Roman"/>
                <w:sz w:val="28"/>
                <w:szCs w:val="28"/>
              </w:rPr>
            </w:pPr>
            <w:r>
              <w:rPr>
                <w:rFonts w:cs="Times New Roman" w:ascii="Times New Roman" w:hAnsi="Times New Roman"/>
                <w:sz w:val="28"/>
                <w:szCs w:val="28"/>
              </w:rPr>
            </w:r>
          </w:p>
        </w:tc>
        <w:tc>
          <w:tcPr>
            <w:tcW w:w="174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cs="Times New Roman"/>
                <w:sz w:val="28"/>
                <w:szCs w:val="28"/>
              </w:rPr>
            </w:pPr>
            <w:r>
              <w:rPr>
                <w:rFonts w:cs="Times New Roman" w:ascii="Times New Roman" w:hAnsi="Times New Roman"/>
                <w:sz w:val="28"/>
                <w:szCs w:val="28"/>
              </w:rPr>
            </w:r>
          </w:p>
        </w:tc>
        <w:tc>
          <w:tcPr>
            <w:tcW w:w="14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cs="Times New Roman"/>
                <w:sz w:val="28"/>
                <w:szCs w:val="28"/>
              </w:rPr>
            </w:pPr>
            <w:r>
              <w:rPr>
                <w:rFonts w:cs="Times New Roman" w:ascii="Times New Roman" w:hAnsi="Times New Roman"/>
                <w:sz w:val="28"/>
                <w:szCs w:val="28"/>
              </w:rPr>
            </w:r>
          </w:p>
        </w:tc>
        <w:tc>
          <w:tcPr>
            <w:tcW w:w="14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cs="Times New Roman"/>
                <w:sz w:val="28"/>
                <w:szCs w:val="28"/>
              </w:rPr>
            </w:pPr>
            <w:r>
              <w:rPr>
                <w:rFonts w:cs="Times New Roman" w:ascii="Times New Roman" w:hAnsi="Times New Roman"/>
                <w:sz w:val="28"/>
                <w:szCs w:val="28"/>
              </w:rPr>
            </w:r>
          </w:p>
        </w:tc>
        <w:tc>
          <w:tcPr>
            <w:tcW w:w="198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cs="Times New Roman"/>
                <w:sz w:val="28"/>
                <w:szCs w:val="28"/>
              </w:rPr>
            </w:pPr>
            <w:r>
              <w:rPr>
                <w:rFonts w:cs="Times New Roman" w:ascii="Times New Roman" w:hAnsi="Times New Roman"/>
                <w:sz w:val="28"/>
                <w:szCs w:val="28"/>
              </w:rPr>
            </w:r>
          </w:p>
        </w:tc>
        <w:tc>
          <w:tcPr>
            <w:tcW w:w="1277"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всего</w:t>
            </w:r>
          </w:p>
        </w:tc>
        <w:tc>
          <w:tcPr>
            <w:tcW w:w="4393"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в том числе средства:</w:t>
            </w:r>
          </w:p>
        </w:tc>
        <w:tc>
          <w:tcPr>
            <w:tcW w:w="198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cs="Times New Roman"/>
                <w:sz w:val="28"/>
                <w:szCs w:val="28"/>
              </w:rPr>
            </w:pPr>
            <w:r>
              <w:rPr>
                <w:rFonts w:cs="Times New Roman" w:ascii="Times New Roman" w:hAnsi="Times New Roman"/>
                <w:sz w:val="28"/>
                <w:szCs w:val="28"/>
              </w:rPr>
            </w:r>
          </w:p>
        </w:tc>
      </w:tr>
      <w:tr>
        <w:trPr/>
        <w:tc>
          <w:tcPr>
            <w:tcW w:w="38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cs="Times New Roman"/>
                <w:sz w:val="28"/>
                <w:szCs w:val="28"/>
              </w:rPr>
            </w:pPr>
            <w:r>
              <w:rPr>
                <w:rFonts w:cs="Times New Roman" w:ascii="Times New Roman" w:hAnsi="Times New Roman"/>
                <w:sz w:val="28"/>
                <w:szCs w:val="28"/>
              </w:rPr>
            </w:r>
          </w:p>
        </w:tc>
        <w:tc>
          <w:tcPr>
            <w:tcW w:w="174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cs="Times New Roman"/>
                <w:sz w:val="28"/>
                <w:szCs w:val="28"/>
              </w:rPr>
            </w:pPr>
            <w:r>
              <w:rPr>
                <w:rFonts w:cs="Times New Roman" w:ascii="Times New Roman" w:hAnsi="Times New Roman"/>
                <w:sz w:val="28"/>
                <w:szCs w:val="28"/>
              </w:rPr>
            </w:r>
          </w:p>
        </w:tc>
        <w:tc>
          <w:tcPr>
            <w:tcW w:w="14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cs="Times New Roman"/>
                <w:sz w:val="28"/>
                <w:szCs w:val="28"/>
              </w:rPr>
            </w:pPr>
            <w:r>
              <w:rPr>
                <w:rFonts w:cs="Times New Roman" w:ascii="Times New Roman" w:hAnsi="Times New Roman"/>
                <w:sz w:val="28"/>
                <w:szCs w:val="28"/>
              </w:rPr>
            </w:r>
          </w:p>
        </w:tc>
        <w:tc>
          <w:tcPr>
            <w:tcW w:w="14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cs="Times New Roman"/>
                <w:sz w:val="28"/>
                <w:szCs w:val="28"/>
              </w:rPr>
            </w:pPr>
            <w:r>
              <w:rPr>
                <w:rFonts w:cs="Times New Roman" w:ascii="Times New Roman" w:hAnsi="Times New Roman"/>
                <w:sz w:val="28"/>
                <w:szCs w:val="28"/>
              </w:rPr>
            </w:r>
          </w:p>
        </w:tc>
        <w:tc>
          <w:tcPr>
            <w:tcW w:w="198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cs="Times New Roman"/>
                <w:sz w:val="28"/>
                <w:szCs w:val="28"/>
              </w:rPr>
            </w:pPr>
            <w:r>
              <w:rPr>
                <w:rFonts w:cs="Times New Roman" w:ascii="Times New Roman" w:hAnsi="Times New Roman"/>
                <w:sz w:val="28"/>
                <w:szCs w:val="28"/>
              </w:rPr>
            </w:r>
          </w:p>
        </w:tc>
        <w:tc>
          <w:tcPr>
            <w:tcW w:w="127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cs="Times New Roman"/>
                <w:sz w:val="28"/>
                <w:szCs w:val="28"/>
              </w:rPr>
            </w:pPr>
            <w:r>
              <w:rPr>
                <w:rFonts w:cs="Times New Roman" w:ascii="Times New Roman" w:hAnsi="Times New Roman"/>
                <w:sz w:val="28"/>
                <w:szCs w:val="28"/>
              </w:rPr>
            </w:r>
          </w:p>
        </w:tc>
        <w:tc>
          <w:tcPr>
            <w:tcW w:w="155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бюджета субъекта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местного бюджета</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внебюджетных источников</w:t>
            </w:r>
          </w:p>
        </w:tc>
        <w:tc>
          <w:tcPr>
            <w:tcW w:w="198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cs="Times New Roman"/>
                <w:sz w:val="28"/>
                <w:szCs w:val="28"/>
              </w:rPr>
            </w:pPr>
            <w:r>
              <w:rPr>
                <w:rFonts w:cs="Times New Roman" w:ascii="Times New Roman" w:hAnsi="Times New Roman"/>
                <w:sz w:val="28"/>
                <w:szCs w:val="28"/>
              </w:rPr>
            </w:r>
          </w:p>
        </w:tc>
      </w:tr>
      <w:tr>
        <w:trPr/>
        <w:tc>
          <w:tcPr>
            <w:tcW w:w="38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1</w:t>
            </w:r>
          </w:p>
        </w:tc>
        <w:tc>
          <w:tcPr>
            <w:tcW w:w="174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2</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3</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4</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5</w:t>
            </w:r>
          </w:p>
        </w:tc>
        <w:tc>
          <w:tcPr>
            <w:tcW w:w="127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6</w:t>
            </w:r>
          </w:p>
        </w:tc>
        <w:tc>
          <w:tcPr>
            <w:tcW w:w="155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7</w:t>
            </w:r>
          </w:p>
        </w:tc>
        <w:tc>
          <w:tcPr>
            <w:tcW w:w="1276"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8</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9</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10</w:t>
            </w:r>
          </w:p>
        </w:tc>
      </w:tr>
      <w:tr>
        <w:trPr/>
        <w:tc>
          <w:tcPr>
            <w:tcW w:w="382"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74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98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77"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55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76"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558"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98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bl>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&lt;1&gt; Сведения представляются на три года (очередной финансовый год и плановый период) отдельно на каждый год</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&lt;2&gt; Указываются направления, предусмотренные Порядком предоставления субсидий из областного бюджета бюджетам муниципальных образований Брянской области на реализацию мероприятий по благоустройству сельских территорий</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Глава администрации</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муниципального образования     ______________        __________________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М.П.                        (подпись)            (Ф.И.О.)</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Исполнитель:</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_______________________________________________________________________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(Ф.И.О., должность, телефон)</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 ________ 20__ года</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sectPr>
          <w:type w:val="nextPage"/>
          <w:pgSz w:orient="landscape" w:w="16838" w:h="11906"/>
          <w:pgMar w:left="1134" w:right="1134" w:header="0" w:top="1701" w:footer="0" w:bottom="850" w:gutter="0"/>
          <w:pgNumType w:fmt="decimal"/>
          <w:formProt w:val="false"/>
          <w:textDirection w:val="lrTb"/>
          <w:docGrid w:type="default" w:linePitch="299" w:charSpace="4096"/>
        </w:sectPr>
        <w:pStyle w:val="ConsPlusNormal1"/>
        <w:numPr>
          <w:ilvl w:val="0"/>
          <w:numId w:val="0"/>
        </w:numPr>
        <w:jc w:val="right"/>
        <w:outlineLvl w:val="2"/>
        <w:rPr>
          <w:rFonts w:ascii="Times New Roman" w:hAnsi="Times New Roman" w:cs="Times New Roman"/>
          <w:sz w:val="28"/>
          <w:szCs w:val="28"/>
        </w:rPr>
      </w:pPr>
      <w:r>
        <w:rPr>
          <w:rFonts w:cs="Times New Roman" w:ascii="Times New Roman" w:hAnsi="Times New Roman"/>
          <w:sz w:val="28"/>
          <w:szCs w:val="28"/>
        </w:rPr>
      </w:r>
    </w:p>
    <w:p>
      <w:pPr>
        <w:pStyle w:val="ConsPlusNormal1"/>
        <w:numPr>
          <w:ilvl w:val="0"/>
          <w:numId w:val="0"/>
        </w:numPr>
        <w:jc w:val="right"/>
        <w:outlineLvl w:val="2"/>
        <w:rPr>
          <w:rFonts w:ascii="Times New Roman" w:hAnsi="Times New Roman" w:cs="Times New Roman"/>
          <w:sz w:val="28"/>
          <w:szCs w:val="28"/>
        </w:rPr>
      </w:pPr>
      <w:r>
        <w:rPr>
          <w:rFonts w:cs="Times New Roman" w:ascii="Times New Roman" w:hAnsi="Times New Roman"/>
          <w:sz w:val="28"/>
          <w:szCs w:val="28"/>
        </w:rPr>
      </w:r>
    </w:p>
    <w:p>
      <w:pPr>
        <w:pStyle w:val="ConsPlusNormal1"/>
        <w:numPr>
          <w:ilvl w:val="0"/>
          <w:numId w:val="0"/>
        </w:numPr>
        <w:jc w:val="right"/>
        <w:outlineLvl w:val="2"/>
        <w:rPr>
          <w:rFonts w:ascii="Times New Roman" w:hAnsi="Times New Roman" w:cs="Times New Roman"/>
          <w:sz w:val="24"/>
          <w:szCs w:val="24"/>
        </w:rPr>
      </w:pPr>
      <w:r>
        <w:rPr>
          <w:rFonts w:cs="Times New Roman" w:ascii="Times New Roman" w:hAnsi="Times New Roman"/>
          <w:sz w:val="24"/>
          <w:szCs w:val="24"/>
        </w:rPr>
        <w:t>Приложение 3</w:t>
      </w:r>
    </w:p>
    <w:p>
      <w:pPr>
        <w:pStyle w:val="ConsPlusNormal1"/>
        <w:jc w:val="right"/>
        <w:rPr>
          <w:rFonts w:ascii="Times New Roman" w:hAnsi="Times New Roman" w:cs="Times New Roman"/>
          <w:sz w:val="24"/>
          <w:szCs w:val="24"/>
        </w:rPr>
      </w:pPr>
      <w:r>
        <w:rPr>
          <w:rFonts w:cs="Times New Roman" w:ascii="Times New Roman" w:hAnsi="Times New Roman"/>
          <w:sz w:val="24"/>
          <w:szCs w:val="24"/>
        </w:rPr>
        <w:t>к Порядку предоставления субсидий бюджетам</w:t>
      </w:r>
    </w:p>
    <w:p>
      <w:pPr>
        <w:pStyle w:val="ConsPlusNormal1"/>
        <w:jc w:val="right"/>
        <w:rPr>
          <w:rFonts w:ascii="Times New Roman" w:hAnsi="Times New Roman" w:cs="Times New Roman"/>
          <w:sz w:val="24"/>
          <w:szCs w:val="24"/>
        </w:rPr>
      </w:pPr>
      <w:r>
        <w:rPr>
          <w:rFonts w:cs="Times New Roman" w:ascii="Times New Roman" w:hAnsi="Times New Roman"/>
          <w:sz w:val="24"/>
          <w:szCs w:val="24"/>
        </w:rPr>
        <w:t>муниципального образования на мероприятия</w:t>
      </w:r>
    </w:p>
    <w:p>
      <w:pPr>
        <w:pStyle w:val="ConsPlusNormal1"/>
        <w:jc w:val="right"/>
        <w:rPr>
          <w:rFonts w:ascii="Times New Roman" w:hAnsi="Times New Roman" w:cs="Times New Roman"/>
          <w:sz w:val="24"/>
          <w:szCs w:val="24"/>
        </w:rPr>
      </w:pPr>
      <w:r>
        <w:rPr>
          <w:rFonts w:cs="Times New Roman" w:ascii="Times New Roman" w:hAnsi="Times New Roman"/>
          <w:sz w:val="24"/>
          <w:szCs w:val="24"/>
        </w:rPr>
        <w:t>по благоустройству сельских территорий</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bookmarkStart w:id="10" w:name="P3298"/>
      <w:bookmarkEnd w:id="10"/>
      <w:r>
        <w:rPr>
          <w:rFonts w:cs="Times New Roman" w:ascii="Times New Roman" w:hAnsi="Times New Roman"/>
          <w:sz w:val="28"/>
          <w:szCs w:val="28"/>
        </w:rPr>
        <w:t xml:space="preserve">         </w:t>
      </w:r>
      <w:r>
        <w:rPr>
          <w:rFonts w:cs="Times New Roman" w:ascii="Times New Roman" w:hAnsi="Times New Roman"/>
          <w:sz w:val="28"/>
          <w:szCs w:val="28"/>
        </w:rPr>
        <w:t>Паспорт общественно значимого проекта по благоустройству</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сельских территорий в ______ году</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_____________________________________ Брянской области</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(наименование муниципального образования)</w:t>
      </w:r>
    </w:p>
    <w:p>
      <w:pPr>
        <w:pStyle w:val="ConsPlusNonformat"/>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I. Общая характеристика проекта</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tbl>
      <w:tblPr>
        <w:tblW w:w="9351" w:type="dxa"/>
        <w:jc w:val="left"/>
        <w:tblInd w:w="0" w:type="dxa"/>
        <w:tblLayout w:type="fixed"/>
        <w:tblCellMar>
          <w:top w:w="102" w:type="dxa"/>
          <w:left w:w="62" w:type="dxa"/>
          <w:bottom w:w="102" w:type="dxa"/>
          <w:right w:w="62" w:type="dxa"/>
        </w:tblCellMar>
        <w:tblLook w:firstRow="0" w:noVBand="0" w:lastRow="0" w:firstColumn="0" w:lastColumn="0" w:noHBand="0" w:val="0000"/>
      </w:tblPr>
      <w:tblGrid>
        <w:gridCol w:w="7230"/>
        <w:gridCol w:w="2120"/>
      </w:tblGrid>
      <w:tr>
        <w:trPr/>
        <w:tc>
          <w:tcPr>
            <w:tcW w:w="723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Направление реализации проекта &lt;1&gt;</w:t>
            </w:r>
          </w:p>
        </w:tc>
        <w:tc>
          <w:tcPr>
            <w:tcW w:w="212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723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Наименование проекта, адрес или описание местоположения</w:t>
            </w:r>
          </w:p>
        </w:tc>
        <w:tc>
          <w:tcPr>
            <w:tcW w:w="212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723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Информация о собственниках и границах земельных участков, формирующих территорию под благоустройство</w:t>
            </w:r>
          </w:p>
        </w:tc>
        <w:tc>
          <w:tcPr>
            <w:tcW w:w="212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723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Проект соответствует нормам безопасности и законодательству Российской Федерации (да/нет)</w:t>
            </w:r>
          </w:p>
        </w:tc>
        <w:tc>
          <w:tcPr>
            <w:tcW w:w="212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723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Цель и задачи проекта</w:t>
            </w:r>
          </w:p>
        </w:tc>
        <w:tc>
          <w:tcPr>
            <w:tcW w:w="212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723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Инициатор проекта</w:t>
            </w:r>
          </w:p>
        </w:tc>
        <w:tc>
          <w:tcPr>
            <w:tcW w:w="212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723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Продолжительность реализации проекта (количество месяцев)</w:t>
            </w:r>
          </w:p>
        </w:tc>
        <w:tc>
          <w:tcPr>
            <w:tcW w:w="212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723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Дата начала реализации проекта</w:t>
            </w:r>
          </w:p>
        </w:tc>
        <w:tc>
          <w:tcPr>
            <w:tcW w:w="212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723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Дата окончания реализации проекта</w:t>
            </w:r>
          </w:p>
        </w:tc>
        <w:tc>
          <w:tcPr>
            <w:tcW w:w="212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723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Общие расходы по проекту, тыс. рублей:</w:t>
            </w:r>
          </w:p>
        </w:tc>
        <w:tc>
          <w:tcPr>
            <w:tcW w:w="212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723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в том числе за счет средств:</w:t>
            </w:r>
          </w:p>
        </w:tc>
        <w:tc>
          <w:tcPr>
            <w:tcW w:w="212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x</w:t>
            </w:r>
          </w:p>
        </w:tc>
      </w:tr>
      <w:tr>
        <w:trPr/>
        <w:tc>
          <w:tcPr>
            <w:tcW w:w="723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федерального бюджета и бюджета субъекта Российской Федерации (не превышающий 2 млн. рублей и не более 70% от общих расходов)</w:t>
            </w:r>
          </w:p>
        </w:tc>
        <w:tc>
          <w:tcPr>
            <w:tcW w:w="212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723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местного бюджета (обязательно), подтвержденного выпиской (или проектом выписки) из местного бюджета</w:t>
            </w:r>
          </w:p>
        </w:tc>
        <w:tc>
          <w:tcPr>
            <w:tcW w:w="212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723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внебюджетных источников (обязательно), включая вклад граждан, (денежными средствами, трудовым участием, предоставлением помещений, техническими средствами, иное) и (или) вклад индивидуальных предпринимателей и юридических лиц</w:t>
            </w:r>
          </w:p>
        </w:tc>
        <w:tc>
          <w:tcPr>
            <w:tcW w:w="212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bl>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&lt;1&gt; В соответствии с Порядком предоставления субсидий из областного бюджета бюджетам муниципальных образований Брянской области на реализацию мероприятий по благоустройству сельских территорий</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Целевая группа:</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tbl>
      <w:tblPr>
        <w:tblW w:w="9351" w:type="dxa"/>
        <w:jc w:val="left"/>
        <w:tblInd w:w="0" w:type="dxa"/>
        <w:tblLayout w:type="fixed"/>
        <w:tblCellMar>
          <w:top w:w="102" w:type="dxa"/>
          <w:left w:w="62" w:type="dxa"/>
          <w:bottom w:w="102" w:type="dxa"/>
          <w:right w:w="62" w:type="dxa"/>
        </w:tblCellMar>
        <w:tblLook w:firstRow="0" w:noVBand="0" w:lastRow="0" w:firstColumn="0" w:lastColumn="0" w:noHBand="0" w:val="0000"/>
      </w:tblPr>
      <w:tblGrid>
        <w:gridCol w:w="7230"/>
        <w:gridCol w:w="2120"/>
      </w:tblGrid>
      <w:tr>
        <w:trPr/>
        <w:tc>
          <w:tcPr>
            <w:tcW w:w="723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both"/>
              <w:rPr>
                <w:rFonts w:ascii="Times New Roman" w:hAnsi="Times New Roman" w:cs="Times New Roman"/>
                <w:sz w:val="28"/>
                <w:szCs w:val="28"/>
              </w:rPr>
            </w:pPr>
            <w:r>
              <w:rPr>
                <w:rFonts w:cs="Times New Roman" w:ascii="Times New Roman" w:hAnsi="Times New Roman"/>
                <w:sz w:val="28"/>
                <w:szCs w:val="28"/>
              </w:rPr>
              <w:t>Численность сельского населения, подтвердившего участие в реализации проекта, человек</w:t>
            </w:r>
          </w:p>
        </w:tc>
        <w:tc>
          <w:tcPr>
            <w:tcW w:w="212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723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both"/>
              <w:rPr>
                <w:rFonts w:ascii="Times New Roman" w:hAnsi="Times New Roman" w:cs="Times New Roman"/>
                <w:sz w:val="28"/>
                <w:szCs w:val="28"/>
              </w:rPr>
            </w:pPr>
            <w:r>
              <w:rPr>
                <w:rFonts w:cs="Times New Roman" w:ascii="Times New Roman" w:hAnsi="Times New Roman"/>
                <w:sz w:val="28"/>
                <w:szCs w:val="28"/>
              </w:rPr>
              <w:t>Количество человек, которые получат пользу от реализации проекта, человек</w:t>
            </w:r>
          </w:p>
        </w:tc>
        <w:tc>
          <w:tcPr>
            <w:tcW w:w="212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723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both"/>
              <w:rPr>
                <w:rFonts w:ascii="Times New Roman" w:hAnsi="Times New Roman" w:cs="Times New Roman"/>
                <w:sz w:val="28"/>
                <w:szCs w:val="28"/>
              </w:rPr>
            </w:pPr>
            <w:r>
              <w:rPr>
                <w:rFonts w:cs="Times New Roman" w:ascii="Times New Roman" w:hAnsi="Times New Roman"/>
                <w:sz w:val="28"/>
                <w:szCs w:val="28"/>
              </w:rPr>
              <w:t>Удельный вес населения, получающего выгоду от реализации проекта (прямых благополучателей) от общего числа жителей населенного пункта, процентов</w:t>
            </w:r>
          </w:p>
        </w:tc>
        <w:tc>
          <w:tcPr>
            <w:tcW w:w="212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bl>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jc w:val="center"/>
        <w:rPr>
          <w:rFonts w:ascii="Times New Roman" w:hAnsi="Times New Roman" w:cs="Times New Roman"/>
          <w:sz w:val="28"/>
          <w:szCs w:val="28"/>
        </w:rPr>
      </w:pPr>
      <w:r>
        <w:rPr>
          <w:rFonts w:cs="Times New Roman" w:ascii="Times New Roman" w:hAnsi="Times New Roman"/>
          <w:sz w:val="28"/>
          <w:szCs w:val="28"/>
        </w:rPr>
        <w:t>II. Описание проекта (не более 1 - 2 страниц)</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2.1. Описание проблемы и обоснование ее актуальности для сообщества: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характеристика существующей ситуации, на решение которой направлен проект, включая сведения о текущем состоянии благоустраиваемой территории;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обоснование необходимости выполнения данного проекта (актуальность), ее общественная значимость;</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круг людей, которых касается решаемая проблема;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ожидаемые результаты, которые планируется достичь в ходе реализации проекта;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дальнейшее развитие проекта: распространение опыта, мероприятия по поддержанию и/или развитию результатов.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2.2. Календарный план реализации мероприятий проекта</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tbl>
      <w:tblPr>
        <w:tblW w:w="9351" w:type="dxa"/>
        <w:jc w:val="left"/>
        <w:tblInd w:w="0" w:type="dxa"/>
        <w:tblLayout w:type="fixed"/>
        <w:tblCellMar>
          <w:top w:w="102" w:type="dxa"/>
          <w:left w:w="62" w:type="dxa"/>
          <w:bottom w:w="102" w:type="dxa"/>
          <w:right w:w="62" w:type="dxa"/>
        </w:tblCellMar>
        <w:tblLook w:firstRow="0" w:noVBand="0" w:lastRow="0" w:firstColumn="0" w:lastColumn="0" w:noHBand="0" w:val="0000"/>
      </w:tblPr>
      <w:tblGrid>
        <w:gridCol w:w="5782"/>
        <w:gridCol w:w="1475"/>
        <w:gridCol w:w="2094"/>
      </w:tblGrid>
      <w:tr>
        <w:trPr/>
        <w:tc>
          <w:tcPr>
            <w:tcW w:w="578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Наименование мероприятия (указываются только те мероприятия, которые реализуются в рамках проекта)</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Сроки реализации</w:t>
            </w:r>
          </w:p>
        </w:tc>
        <w:tc>
          <w:tcPr>
            <w:tcW w:w="209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Ответственный исполнитель</w:t>
            </w:r>
          </w:p>
        </w:tc>
      </w:tr>
      <w:tr>
        <w:trPr/>
        <w:tc>
          <w:tcPr>
            <w:tcW w:w="5782"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Подготовительные работы:</w:t>
            </w:r>
          </w:p>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(проектные, изыскательские)</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09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5782"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47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09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578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both"/>
              <w:rPr>
                <w:rFonts w:ascii="Times New Roman" w:hAnsi="Times New Roman" w:cs="Times New Roman"/>
                <w:sz w:val="28"/>
                <w:szCs w:val="28"/>
              </w:rPr>
            </w:pPr>
            <w:r>
              <w:rPr>
                <w:rFonts w:cs="Times New Roman" w:ascii="Times New Roman" w:hAnsi="Times New Roman"/>
                <w:sz w:val="28"/>
                <w:szCs w:val="28"/>
              </w:rPr>
              <w:t>Ремонтно-строительные работы:</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09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5782"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47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09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578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both"/>
              <w:rPr>
                <w:rFonts w:ascii="Times New Roman" w:hAnsi="Times New Roman" w:cs="Times New Roman"/>
                <w:sz w:val="28"/>
                <w:szCs w:val="28"/>
              </w:rPr>
            </w:pPr>
            <w:r>
              <w:rPr>
                <w:rFonts w:cs="Times New Roman" w:ascii="Times New Roman" w:hAnsi="Times New Roman"/>
                <w:sz w:val="28"/>
                <w:szCs w:val="28"/>
              </w:rPr>
              <w:t>Приобретение оборудования (описать подробно):</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09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5782"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47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09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578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both"/>
              <w:rPr>
                <w:rFonts w:ascii="Times New Roman" w:hAnsi="Times New Roman" w:cs="Times New Roman"/>
                <w:sz w:val="28"/>
                <w:szCs w:val="28"/>
              </w:rPr>
            </w:pPr>
            <w:r>
              <w:rPr>
                <w:rFonts w:cs="Times New Roman" w:ascii="Times New Roman" w:hAnsi="Times New Roman"/>
                <w:sz w:val="28"/>
                <w:szCs w:val="28"/>
              </w:rPr>
              <w:t>Прочая деятельность (указать наименование):</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09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5782"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47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09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bl>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jc w:val="center"/>
        <w:rPr>
          <w:rFonts w:ascii="Times New Roman" w:hAnsi="Times New Roman" w:cs="Times New Roman"/>
          <w:sz w:val="28"/>
          <w:szCs w:val="28"/>
        </w:rPr>
      </w:pPr>
      <w:r>
        <w:rPr>
          <w:rFonts w:cs="Times New Roman" w:ascii="Times New Roman" w:hAnsi="Times New Roman"/>
          <w:sz w:val="28"/>
          <w:szCs w:val="28"/>
        </w:rPr>
        <w:t>III. Смета расходов по проекту</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tbl>
      <w:tblPr>
        <w:tblW w:w="9351" w:type="dxa"/>
        <w:jc w:val="left"/>
        <w:tblInd w:w="0" w:type="dxa"/>
        <w:tblLayout w:type="fixed"/>
        <w:tblCellMar>
          <w:top w:w="102" w:type="dxa"/>
          <w:left w:w="62" w:type="dxa"/>
          <w:bottom w:w="102" w:type="dxa"/>
          <w:right w:w="62" w:type="dxa"/>
        </w:tblCellMar>
        <w:tblLook w:firstRow="0" w:noVBand="0" w:lastRow="0" w:firstColumn="0" w:lastColumn="0" w:noHBand="0" w:val="0000"/>
      </w:tblPr>
      <w:tblGrid>
        <w:gridCol w:w="1360"/>
        <w:gridCol w:w="2665"/>
        <w:gridCol w:w="2778"/>
        <w:gridCol w:w="2547"/>
      </w:tblGrid>
      <w:tr>
        <w:trPr/>
        <w:tc>
          <w:tcPr>
            <w:tcW w:w="136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Статьи сметы (подробно)</w:t>
            </w:r>
          </w:p>
        </w:tc>
        <w:tc>
          <w:tcPr>
            <w:tcW w:w="2665"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Запрашиваемые средства государственной поддержки, тыс. рублей</w:t>
            </w:r>
          </w:p>
        </w:tc>
        <w:tc>
          <w:tcPr>
            <w:tcW w:w="277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Вклад инициатора проекта (местный бюджет, внебюджетные источники), тыс. рублей</w:t>
            </w:r>
          </w:p>
        </w:tc>
        <w:tc>
          <w:tcPr>
            <w:tcW w:w="254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Общие расходы по проекту, тыс. рублей</w:t>
            </w:r>
          </w:p>
        </w:tc>
      </w:tr>
      <w:tr>
        <w:trPr/>
        <w:tc>
          <w:tcPr>
            <w:tcW w:w="136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66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778"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547"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bl>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Руководитель уполномоченного</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органа муниципального образования</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__________________    __________________________________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(М.П., подпись)   (расшифровка подписи)</w:t>
      </w:r>
    </w:p>
    <w:p>
      <w:pPr>
        <w:pStyle w:val="ConsPlusNonformat"/>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Исполнитель:</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 ____________________________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(должность) (подпись) (расшифровка подписи)</w:t>
      </w:r>
    </w:p>
    <w:p>
      <w:pPr>
        <w:pStyle w:val="ConsPlusNonformat"/>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Контактный тел.</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200"/>
        <w:rPr>
          <w:rFonts w:ascii="Times New Roman" w:hAnsi="Times New Roman" w:cs="Times New Roman"/>
          <w:sz w:val="28"/>
          <w:szCs w:val="28"/>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Courier New">
    <w:charset w:val="cc"/>
    <w:family w:val="roman"/>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031f3"/>
    <w:pPr>
      <w:widowControl/>
      <w:bidi w:val="0"/>
      <w:spacing w:lineRule="auto" w:line="276" w:before="0" w:after="200"/>
      <w:jc w:val="left"/>
    </w:pPr>
    <w:rPr>
      <w:rFonts w:eastAsia="" w:eastAsiaTheme="minorEastAsia" w:ascii="Calibri" w:hAnsi="Calibri" w:cs=""/>
      <w:color w:val="auto"/>
      <w:kern w:val="0"/>
      <w:sz w:val="22"/>
      <w:szCs w:val="22"/>
      <w:lang w:eastAsia="ru-RU" w:val="ru-RU" w:bidi="ar-SA"/>
    </w:rPr>
  </w:style>
  <w:style w:type="character" w:styleId="DefaultParagraphFont" w:default="1">
    <w:name w:val="Default Paragraph Font"/>
    <w:uiPriority w:val="1"/>
    <w:semiHidden/>
    <w:unhideWhenUsed/>
    <w:qFormat/>
    <w:rPr/>
  </w:style>
  <w:style w:type="character" w:styleId="ConsPlusNormal" w:customStyle="1">
    <w:name w:val="ConsPlusNormal Знак"/>
    <w:link w:val="ConsPlusNormal"/>
    <w:qFormat/>
    <w:locked/>
    <w:rsid w:val="003031f3"/>
    <w:rPr>
      <w:rFonts w:ascii="Calibri" w:hAnsi="Calibri" w:eastAsia="Times New Roman" w:cs="Calibri"/>
      <w:szCs w:val="20"/>
      <w:lang w:eastAsia="ru-RU"/>
    </w:rPr>
  </w:style>
  <w:style w:type="character" w:styleId="Style14">
    <w:name w:val="Интернет-ссылка"/>
    <w:rPr>
      <w:color w:val="000080"/>
      <w:u w:val="single"/>
      <w:lang w:val="zxx" w:eastAsia="zxx" w:bidi="zxx"/>
    </w:rPr>
  </w:style>
  <w:style w:type="paragraph" w:styleId="Style15">
    <w:name w:val="Заголовок"/>
    <w:basedOn w:val="Normal"/>
    <w:next w:val="Style16"/>
    <w:qFormat/>
    <w:pPr>
      <w:keepNext w:val="true"/>
      <w:spacing w:before="240" w:after="120"/>
    </w:pPr>
    <w:rPr>
      <w:rFonts w:ascii="Liberation Sans" w:hAnsi="Liberation Sans" w:eastAsia="Microsoft YaHei" w:cs="Arial Unicode M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Unicode MS"/>
    </w:rPr>
  </w:style>
  <w:style w:type="paragraph" w:styleId="Style18">
    <w:name w:val="Caption"/>
    <w:basedOn w:val="Normal"/>
    <w:qFormat/>
    <w:pPr>
      <w:suppressLineNumbers/>
      <w:spacing w:before="120" w:after="120"/>
    </w:pPr>
    <w:rPr>
      <w:rFonts w:cs="Arial Unicode MS"/>
      <w:i/>
      <w:iCs/>
      <w:sz w:val="24"/>
      <w:szCs w:val="24"/>
    </w:rPr>
  </w:style>
  <w:style w:type="paragraph" w:styleId="Style19">
    <w:name w:val="Указатель"/>
    <w:basedOn w:val="Normal"/>
    <w:qFormat/>
    <w:pPr>
      <w:suppressLineNumbers/>
    </w:pPr>
    <w:rPr>
      <w:rFonts w:cs="Arial Unicode MS"/>
    </w:rPr>
  </w:style>
  <w:style w:type="paragraph" w:styleId="ConsPlusNormal1" w:customStyle="1">
    <w:name w:val="ConsPlusNormal"/>
    <w:link w:val="ConsPlusNormal0"/>
    <w:qFormat/>
    <w:rsid w:val="003031f3"/>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eastAsia="ru-RU" w:val="ru-RU" w:bidi="ar-SA"/>
    </w:rPr>
  </w:style>
  <w:style w:type="paragraph" w:styleId="ConsPlusNonformat" w:customStyle="1">
    <w:name w:val="ConsPlusNonformat"/>
    <w:qFormat/>
    <w:rsid w:val="003031f3"/>
    <w:pPr>
      <w:widowControl w:val="false"/>
      <w:bidi w:val="0"/>
      <w:spacing w:lineRule="auto" w:line="240" w:before="0" w:after="0"/>
      <w:jc w:val="left"/>
    </w:pPr>
    <w:rPr>
      <w:rFonts w:ascii="Courier New" w:hAnsi="Courier New" w:eastAsia="Times New Roman" w:cs="Courier New"/>
      <w:color w:val="auto"/>
      <w:kern w:val="0"/>
      <w:sz w:val="20"/>
      <w:szCs w:val="20"/>
      <w:lang w:eastAsia="ru-RU" w:val="ru-RU" w:bidi="ar-SA"/>
    </w:rPr>
  </w:style>
  <w:style w:type="paragraph" w:styleId="ConsPlusTitle" w:customStyle="1">
    <w:name w:val="ConsPlusTitle"/>
    <w:qFormat/>
    <w:rsid w:val="003031f3"/>
    <w:pPr>
      <w:widowControl w:val="false"/>
      <w:bidi w:val="0"/>
      <w:spacing w:lineRule="auto" w:line="240" w:before="0" w:after="0"/>
      <w:jc w:val="left"/>
    </w:pPr>
    <w:rPr>
      <w:rFonts w:ascii="Calibri" w:hAnsi="Calibri" w:eastAsia="Times New Roman" w:cs="Calibri" w:asciiTheme="minorHAnsi" w:hAnsiTheme="minorHAnsi"/>
      <w:b/>
      <w:color w:val="auto"/>
      <w:kern w:val="0"/>
      <w:sz w:val="22"/>
      <w:szCs w:val="20"/>
      <w:lang w:eastAsia="ru-RU" w:val="ru-RU"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A50A344230FE33EC20D92D0EDF45C5F177CFCCF372649F517464E791C9CCC671507E5652805701CD3D495BAAE5594617B891667A45DCAA159A6C0911o9N" TargetMode="External"/><Relationship Id="rId3" Type="http://schemas.openxmlformats.org/officeDocument/2006/relationships/hyperlink" Target="consultantplus://offline/ref=A50A344230FE33EC20D93303C92999FC75C195FC7D679100293BBCCC9EC5CC260531571CC6581ECD34575DAAEC10oDN" TargetMode="External"/><Relationship Id="rId4" Type="http://schemas.openxmlformats.org/officeDocument/2006/relationships/hyperlink" Target="consultantplus://offline/ref=A50A344230FE33EC20D93303C92999FC75C195FC7D679100293BBCCC9EC5CC260531571CC6581ECD34575DAAEC10oDN" TargetMode="External"/><Relationship Id="rId5" Type="http://schemas.openxmlformats.org/officeDocument/2006/relationships/hyperlink" Target="consultantplus://offline/ref=A50A344230FE33EC20D92D0EDF45C5F177CFCCF3726798507064E791C9CCC671507E5652805701CD3D485FAEE5594617B891667A45DCAA159A6C0911o9N" TargetMode="External"/><Relationship Id="rId6" Type="http://schemas.openxmlformats.org/officeDocument/2006/relationships/hyperlink" Target="consultantplus://offline/ref=A50A344230FE33EC20D92D0EDF45C5F177CFCCF372649F517464E791C9CCC671507E5652805701CD3D485BADE5594617B891667A45DCAA159A6C0911o9N" TargetMode="External"/><Relationship Id="rId7" Type="http://schemas.openxmlformats.org/officeDocument/2006/relationships/hyperlink" Target="consultantplus://offline/ref=A50A344230FE33EC20D92D0EDF45C5F177CFCCF372649F517464E791C9CCC671507E5652805701CD3D485AADE5594617B891667A45DCAA159A6C0911o9N" TargetMode="External"/><Relationship Id="rId8" Type="http://schemas.openxmlformats.org/officeDocument/2006/relationships/hyperlink" Target="consultantplus://offline/ref=A50A344230FE33EC20D92D0EDF45C5F177CFCCF372649F517464E791C9CCC671507E5652805701CD3D4859A8E5594617B891667A45DCAA159A6C0911o9N" TargetMode="External"/><Relationship Id="rId9" Type="http://schemas.openxmlformats.org/officeDocument/2006/relationships/hyperlink" Target="consultantplus://offline/ref=A50A344230FE33EC20D92D0EDF45C5F177CFCCF372649F517464E791C9CCC671507E5652805701CD3D495BA9E5594617B891667A45DCAA159A6C0911o9N" TargetMode="External"/><Relationship Id="rId10" Type="http://schemas.openxmlformats.org/officeDocument/2006/relationships/hyperlink" Target="consultantplus://offline/ref=A50A344230FE33EC20D92D0EDF45C5F177CFCCF372649F517464E791C9CCC671507E5652805701CD3D4858AFE5594617B891667A45DCAA159A6C0911o9N" TargetMode="External"/><Relationship Id="rId11" Type="http://schemas.openxmlformats.org/officeDocument/2006/relationships/hyperlink" Target="consultantplus://offline/ref=A50A344230FE33EC20D92D0EDF45C5F177CFCCF372649F517464E791C9CCC671507E5652805701CD3D485BADE5594617B891667A45DCAA159A6C0911o9N" TargetMode="External"/><Relationship Id="rId12" Type="http://schemas.openxmlformats.org/officeDocument/2006/relationships/hyperlink" Target="consultantplus://offline/ref=A50A344230FE33EC20D92D0EDF45C5F177CFCCF372649F517464E791C9CCC671507E5652805701CD3D495BA9E5594617B891667A45DCAA159A6C0911o9N" TargetMode="External"/><Relationship Id="rId13" Type="http://schemas.openxmlformats.org/officeDocument/2006/relationships/hyperlink" Target="consultantplus://offline/ref=A50A344230FE33EC20D92D0EDF45C5F177CFCCF372649F517464E791C9CCC671507E5652805701CD3D485BADE5594617B891667A45DCAA159A6C0911o9N" TargetMode="External"/><Relationship Id="rId14" Type="http://schemas.openxmlformats.org/officeDocument/2006/relationships/hyperlink" Target="consultantplus://offline/ref=A50A344230FE33EC20D92D0EDF45C5F177CFCCF372649F517464E791C9CCC671507E5652805701CD3D495BA9E5594617B891667A45DCAA159A6C0911o9N" TargetMode="External"/><Relationship Id="rId15" Type="http://schemas.openxmlformats.org/officeDocument/2006/relationships/hyperlink" Target="consultantplus://offline/ref=A50A344230FE33EC20D92D0EDF45C5F177CFCCF372649F517464E791C9CCC671507E5652805701CD3D485AADE5594617B891667A45DCAA159A6C0911o9N" TargetMode="External"/><Relationship Id="rId16" Type="http://schemas.openxmlformats.org/officeDocument/2006/relationships/hyperlink" Target="consultantplus://offline/ref=A50A344230FE33EC20D92D0EDF45C5F177CFCCF372649F517464E791C9CCC671507E5652805701CD3D4859ADE5594617B891667A45DCAA159A6C0911o9N" TargetMode="External"/><Relationship Id="rId17" Type="http://schemas.openxmlformats.org/officeDocument/2006/relationships/hyperlink" Target="consultantplus://offline/ref=A50A344230FE33EC20D92D0EDF45C5F177CFCCF372649F517464E791C9CCC671507E5652805701CD3D4859A3E5594617B891667A45DCAA159A6C0911o9N" TargetMode="External"/><Relationship Id="rId18" Type="http://schemas.openxmlformats.org/officeDocument/2006/relationships/hyperlink" Target="consultantplus://offline/ref=A50A344230FE33EC20D93303C92999FC75C193FA7D669100293BBCCC9EC5CC260531571CC6581ECD34575DAAEC10oDN" TargetMode="Externa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LibreOffice/7.0.1.2$Windows_X86_64 LibreOffice_project/7cbcfc562f6eb6708b5ff7d7397325de9e764452</Application>
  <Pages>13</Pages>
  <Words>2887</Words>
  <Characters>22466</Characters>
  <CharactersWithSpaces>25356</CharactersWithSpaces>
  <Paragraphs>227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2021-10-25T11:09:00Z</dcterms:created>
  <dc:creator>user</dc:creator>
  <dc:description/>
  <dc:language>ru-RU</dc:language>
  <cp:lastModifiedBy>user</cp:lastModifiedBy>
  <dcterms:modified xsi:type="dcterms:W3CDTF">2021-10-25T11:09:00Z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